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360" w:after="288"/>
        <w:ind w:left="567"/>
        <w:jc w:val="center"/>
        <w:rPr/>
      </w:pPr>
      <w:r>
        <w:drawing>
          <wp:anchor behindDoc="0" distT="0" distB="0" distL="114300" distR="114300" simplePos="0" locked="0" layoutInCell="0" allowOverlap="1" relativeHeight="2">
            <wp:simplePos x="0" y="0"/>
            <wp:positionH relativeFrom="margin">
              <wp:posOffset>2818130</wp:posOffset>
            </wp:positionH>
            <wp:positionV relativeFrom="paragraph">
              <wp:posOffset>64135</wp:posOffset>
            </wp:positionV>
            <wp:extent cx="737870" cy="805815"/>
            <wp:effectExtent l="0" t="0" r="0" b="0"/>
            <wp:wrapTopAndBottom/>
            <wp:docPr id="1" name="Imagem 186696377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866963775" descr=""/>
                    <pic:cNvPicPr>
                      <a:picLocks noChangeAspect="1" noChangeArrowheads="1"/>
                    </pic:cNvPicPr>
                  </pic:nvPicPr>
                  <pic:blipFill>
                    <a:blip r:embed="rId2"/>
                    <a:stretch>
                      <a:fillRect/>
                    </a:stretch>
                  </pic:blipFill>
                  <pic:spPr bwMode="auto">
                    <a:xfrm>
                      <a:off x="0" y="0"/>
                      <a:ext cx="737870" cy="805815"/>
                    </a:xfrm>
                    <a:prstGeom prst="rect">
                      <a:avLst/>
                    </a:prstGeom>
                    <a:noFill/>
                  </pic:spPr>
                </pic:pic>
              </a:graphicData>
            </a:graphic>
          </wp:anchor>
        </w:drawing>
      </w:r>
      <w:r>
        <w:rPr>
          <w:rFonts w:eastAsia="Times New Roman" w:cs="Times New Roman" w:ascii="Times New Roman" w:hAnsi="Times New Roman"/>
          <w:b/>
          <w:bCs/>
          <w:i/>
          <w:color w:val="000000"/>
          <w:sz w:val="24"/>
          <w:szCs w:val="24"/>
        </w:rPr>
        <w:t>MINISTÉRIO DA DEFESA</w:t>
      </w:r>
    </w:p>
    <w:p>
      <w:pPr>
        <w:pStyle w:val="Normal"/>
        <w:spacing w:lineRule="auto" w:line="240" w:before="360" w:after="288"/>
        <w:ind w:left="567"/>
        <w:jc w:val="center"/>
        <w:rPr/>
      </w:pPr>
      <w:r>
        <w:rPr>
          <w:rFonts w:eastAsia="Times New Roman" w:cs="Times New Roman" w:ascii="Times New Roman" w:hAnsi="Times New Roman"/>
          <w:b/>
          <w:bCs/>
          <w:color w:val="000000"/>
          <w:sz w:val="24"/>
          <w:szCs w:val="24"/>
        </w:rPr>
        <w:t>EXÉRCITO BRASILEIRO</w:t>
      </w:r>
    </w:p>
    <w:p>
      <w:pPr>
        <w:pStyle w:val="Normal"/>
        <w:spacing w:lineRule="auto" w:line="240" w:before="360" w:after="288"/>
        <w:ind w:left="567"/>
        <w:jc w:val="center"/>
        <w:rPr/>
      </w:pPr>
      <w:r>
        <w:rPr>
          <w:rFonts w:eastAsia="Times New Roman" w:cs="Times New Roman" w:ascii="Times New Roman" w:hAnsi="Times New Roman"/>
          <w:b/>
          <w:bCs/>
          <w:color w:val="000000"/>
          <w:sz w:val="24"/>
          <w:szCs w:val="24"/>
        </w:rPr>
        <w:t>DEPÓSITO CENTRAL DE MUNIÇÃO</w:t>
      </w:r>
    </w:p>
    <w:p>
      <w:pPr>
        <w:pStyle w:val="Normal"/>
        <w:spacing w:lineRule="auto" w:line="240"/>
        <w:jc w:val="center"/>
        <w:rPr/>
      </w:pPr>
      <w:r>
        <w:rPr>
          <w:rFonts w:eastAsia="Times New Roman" w:cs="Times New Roman" w:ascii="Times New Roman" w:hAnsi="Times New Roman"/>
          <w:b/>
          <w:bCs/>
          <w:i/>
          <w:iCs/>
          <w:color w:val="000000"/>
          <w:sz w:val="24"/>
          <w:szCs w:val="24"/>
        </w:rPr>
        <w:t xml:space="preserve">    </w:t>
      </w:r>
      <w:r>
        <w:rPr>
          <w:rFonts w:eastAsia="Times New Roman" w:cs="Times New Roman" w:ascii="Times New Roman" w:hAnsi="Times New Roman"/>
          <w:b/>
          <w:bCs/>
          <w:i/>
          <w:iCs/>
          <w:color w:val="000000"/>
          <w:sz w:val="24"/>
          <w:szCs w:val="24"/>
        </w:rPr>
        <w:t>(D C M B / 1918)</w:t>
      </w:r>
    </w:p>
    <w:p>
      <w:pPr>
        <w:pStyle w:val="Normal"/>
        <w:spacing w:lineRule="auto" w:line="240" w:before="360" w:after="288"/>
        <w:ind w:left="567"/>
        <w:jc w:val="center"/>
        <w:rPr/>
      </w:pPr>
      <w:r>
        <w:rPr>
          <w:rFonts w:cs="Arial" w:ascii="Times New Roman" w:hAnsi="Times New Roman"/>
          <w:b/>
          <w:bCs/>
          <w:i/>
          <w:color w:val="000000"/>
          <w:sz w:val="20"/>
          <w:szCs w:val="20"/>
        </w:rPr>
        <w:t xml:space="preserve">(Processo Administrativo n° </w:t>
      </w:r>
      <w:r>
        <w:rPr>
          <w:rFonts w:cs="Arial" w:ascii="Arial" w:hAnsi="Arial"/>
          <w:b/>
          <w:bCs/>
          <w:i/>
          <w:color w:val="000000"/>
          <w:sz w:val="20"/>
          <w:szCs w:val="20"/>
        </w:rPr>
        <w:t>64449.007341/2024-13</w:t>
      </w:r>
      <w:r>
        <w:rPr>
          <w:rFonts w:cs="Arial" w:ascii="Times New Roman" w:hAnsi="Times New Roman"/>
          <w:b/>
          <w:bCs/>
          <w:i/>
          <w:color w:val="000000"/>
          <w:sz w:val="20"/>
          <w:szCs w:val="20"/>
        </w:rPr>
        <w:t xml:space="preserve"> )</w:t>
      </w:r>
    </w:p>
    <w:p>
      <w:pPr>
        <w:pStyle w:val="Normal"/>
        <w:spacing w:lineRule="auto" w:line="312" w:before="0" w:after="288"/>
        <w:ind w:left="567"/>
        <w:jc w:val="center"/>
        <w:rPr>
          <w:rFonts w:ascii="Times New Roman" w:hAnsi="Times New Roman"/>
          <w:color w:val="000000"/>
        </w:rPr>
      </w:pPr>
      <w:r>
        <w:rPr>
          <w:rFonts w:cs="Arial" w:ascii="Times New Roman" w:hAnsi="Times New Roman"/>
          <w:b/>
          <w:bCs/>
          <w:color w:val="000000"/>
          <w:sz w:val="20"/>
          <w:szCs w:val="20"/>
        </w:rPr>
        <w:t>TERMO DE REFERÊNCIA</w:t>
      </w:r>
    </w:p>
    <w:p>
      <w:pPr>
        <w:pStyle w:val="Normal"/>
        <w:numPr>
          <w:ilvl w:val="0"/>
          <w:numId w:val="1"/>
        </w:numPr>
        <w:ind w:hanging="357" w:left="567"/>
        <w:rPr>
          <w:b/>
          <w:bCs/>
        </w:rPr>
      </w:pPr>
      <w:r>
        <w:rPr>
          <w:rFonts w:ascii="Times New Roman" w:hAnsi="Times New Roman"/>
          <w:b/>
          <w:bCs/>
          <w:color w:val="000000"/>
        </w:rPr>
        <w:t>CONDIÇÕES GERAIS DA CONTRATAÇÃO</w:t>
      </w:r>
    </w:p>
    <w:p>
      <w:pPr>
        <w:pStyle w:val="Normal"/>
        <w:numPr>
          <w:ilvl w:val="1"/>
          <w:numId w:val="1"/>
        </w:numPr>
        <w:ind w:hanging="0" w:left="567"/>
        <w:rPr>
          <w:rFonts w:ascii="Times New Roman" w:hAnsi="Times New Roman"/>
          <w:color w:val="000000"/>
        </w:rPr>
      </w:pPr>
      <w:r>
        <w:rPr>
          <w:rFonts w:ascii="Times New Roman" w:hAnsi="Times New Roman"/>
          <w:color w:val="000000"/>
        </w:rPr>
        <w:t xml:space="preserve">Contratação de serviços de </w:t>
      </w:r>
      <w:r>
        <w:rPr>
          <w:rFonts w:eastAsia="Times New Roman" w:cs="Times New Roman" w:ascii="Times New Roman" w:hAnsi="Times New Roman"/>
          <w:color w:val="000000"/>
          <w:sz w:val="24"/>
          <w:szCs w:val="24"/>
        </w:rPr>
        <w:t>estudo ambiental com elaboração de Relatório de Controle Ambiental e Plano de Controle Ambiental (RCA/PCA) do Depósito Central de Munição</w:t>
      </w:r>
      <w:r>
        <w:rPr>
          <w:rFonts w:ascii="Times New Roman" w:hAnsi="Times New Roman"/>
          <w:color w:val="000000"/>
        </w:rPr>
        <w:t>, a serem executados com regime de dedicação exclusiva de mão de obra, nos termos da tabela abaixo, conforme condições e exigências estabelecidas neste instrumento.</w:t>
      </w:r>
      <w:bookmarkStart w:id="0" w:name="_Ref172095982"/>
      <w:r>
        <w:rPr>
          <w:rFonts w:ascii="Times New Roman" w:hAnsi="Times New Roman"/>
          <w:color w:val="000000"/>
        </w:rPr>
        <w:t>.</w:t>
      </w:r>
      <w:bookmarkEnd w:id="0"/>
    </w:p>
    <w:tbl>
      <w:tblPr>
        <w:tblW w:w="9465" w:type="dxa"/>
        <w:jc w:val="left"/>
        <w:tblInd w:w="369" w:type="dxa"/>
        <w:tblLayout w:type="fixed"/>
        <w:tblCellMar>
          <w:top w:w="0" w:type="dxa"/>
          <w:left w:w="108" w:type="dxa"/>
          <w:bottom w:w="0" w:type="dxa"/>
          <w:right w:w="108" w:type="dxa"/>
        </w:tblCellMar>
        <w:tblLook w:firstRow="1" w:noVBand="1" w:lastRow="0" w:firstColumn="1" w:lastColumn="0" w:noHBand="0" w:val="04a0"/>
      </w:tblPr>
      <w:tblGrid>
        <w:gridCol w:w="1035"/>
        <w:gridCol w:w="1994"/>
        <w:gridCol w:w="1126"/>
        <w:gridCol w:w="1424"/>
        <w:gridCol w:w="1275"/>
        <w:gridCol w:w="1305"/>
        <w:gridCol w:w="1305"/>
      </w:tblGrid>
      <w:tr>
        <w:trPr>
          <w:trHeight w:val="1020" w:hRule="exact"/>
        </w:trPr>
        <w:tc>
          <w:tcPr>
            <w:tcW w:w="103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bidi w:val="0"/>
              <w:spacing w:lineRule="auto" w:line="312" w:before="120" w:after="288"/>
              <w:ind w:hanging="57" w:left="227" w:right="0"/>
              <w:jc w:val="center"/>
              <w:rPr>
                <w:rFonts w:ascii="Times New Roman" w:hAnsi="Times New Roman"/>
                <w:color w:val="000000"/>
              </w:rPr>
            </w:pPr>
            <w:r>
              <w:rPr>
                <w:rFonts w:cs="Arial" w:ascii="Times New Roman" w:hAnsi="Times New Roman"/>
                <w:b/>
                <w:bCs/>
                <w:color w:val="000000"/>
                <w:sz w:val="20"/>
                <w:szCs w:val="20"/>
              </w:rPr>
              <w:t>ITEM</w:t>
            </w:r>
          </w:p>
        </w:tc>
        <w:tc>
          <w:tcPr>
            <w:tcW w:w="199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bidi w:val="0"/>
              <w:spacing w:lineRule="auto" w:line="312" w:before="120" w:after="288"/>
              <w:ind w:hanging="0" w:left="57" w:right="0"/>
              <w:jc w:val="left"/>
              <w:rPr>
                <w:rFonts w:ascii="Times New Roman" w:hAnsi="Times New Roman"/>
                <w:color w:val="000000"/>
              </w:rPr>
            </w:pPr>
            <w:r>
              <w:rPr>
                <w:rFonts w:cs="Arial" w:ascii="Times New Roman" w:hAnsi="Times New Roman"/>
                <w:b/>
                <w:bCs/>
                <w:color w:val="000000"/>
                <w:sz w:val="20"/>
                <w:szCs w:val="20"/>
              </w:rPr>
              <w:t>ESPECIFICAÇÃO</w:t>
            </w:r>
          </w:p>
        </w:tc>
        <w:tc>
          <w:tcPr>
            <w:tcW w:w="112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bidi w:val="0"/>
              <w:spacing w:lineRule="auto" w:line="312" w:before="120" w:after="288"/>
              <w:ind w:hanging="0" w:left="57" w:right="0"/>
              <w:jc w:val="left"/>
              <w:rPr>
                <w:rFonts w:ascii="Times New Roman" w:hAnsi="Times New Roman"/>
                <w:color w:val="000000"/>
              </w:rPr>
            </w:pPr>
            <w:r>
              <w:rPr>
                <w:rFonts w:cs="Arial" w:ascii="Times New Roman" w:hAnsi="Times New Roman"/>
                <w:b/>
                <w:bCs/>
                <w:color w:val="000000"/>
                <w:sz w:val="20"/>
                <w:szCs w:val="20"/>
              </w:rPr>
              <w:t>CATSER</w:t>
            </w:r>
          </w:p>
        </w:tc>
        <w:tc>
          <w:tcPr>
            <w:tcW w:w="142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bidi w:val="0"/>
              <w:spacing w:lineRule="auto" w:line="312" w:before="120" w:after="288"/>
              <w:ind w:hanging="0" w:left="57" w:right="0"/>
              <w:jc w:val="left"/>
              <w:rPr>
                <w:rFonts w:ascii="Times New Roman" w:hAnsi="Times New Roman"/>
                <w:color w:val="000000"/>
              </w:rPr>
            </w:pPr>
            <w:r>
              <w:rPr>
                <w:rFonts w:cs="Arial" w:ascii="Times New Roman" w:hAnsi="Times New Roman"/>
                <w:b/>
                <w:bCs/>
                <w:color w:val="000000"/>
                <w:sz w:val="20"/>
                <w:szCs w:val="20"/>
              </w:rPr>
              <w:t>UNIDADE DE MEDIDA</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bidi w:val="0"/>
              <w:spacing w:lineRule="auto" w:line="312" w:before="120" w:after="288"/>
              <w:ind w:hanging="0" w:left="57" w:right="0"/>
              <w:jc w:val="left"/>
              <w:rPr>
                <w:rFonts w:ascii="Times New Roman" w:hAnsi="Times New Roman"/>
                <w:color w:val="000000"/>
              </w:rPr>
            </w:pPr>
            <w:r>
              <w:rPr>
                <w:rFonts w:cs="Arial" w:ascii="Times New Roman" w:hAnsi="Times New Roman"/>
                <w:b/>
                <w:bCs/>
                <w:color w:val="000000"/>
                <w:sz w:val="20"/>
                <w:szCs w:val="20"/>
              </w:rPr>
              <w:t>QUANTIDADE</w:t>
            </w:r>
          </w:p>
        </w:tc>
        <w:tc>
          <w:tcPr>
            <w:tcW w:w="130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bidi w:val="0"/>
              <w:spacing w:lineRule="auto" w:line="312" w:before="120" w:after="288"/>
              <w:ind w:hanging="0" w:left="57" w:right="0"/>
              <w:jc w:val="left"/>
              <w:rPr>
                <w:rFonts w:ascii="Times New Roman" w:hAnsi="Times New Roman"/>
                <w:color w:val="000000"/>
              </w:rPr>
            </w:pPr>
            <w:r>
              <w:rPr>
                <w:rFonts w:cs="Arial" w:ascii="Times New Roman" w:hAnsi="Times New Roman"/>
                <w:b/>
                <w:bCs/>
                <w:color w:val="000000"/>
                <w:sz w:val="20"/>
                <w:szCs w:val="20"/>
              </w:rPr>
              <w:t>VALOR UNITÁRIO</w:t>
            </w:r>
          </w:p>
        </w:tc>
        <w:tc>
          <w:tcPr>
            <w:tcW w:w="130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bidi w:val="0"/>
              <w:spacing w:lineRule="auto" w:line="312" w:before="120" w:after="288"/>
              <w:ind w:hanging="0" w:left="57" w:right="113"/>
              <w:jc w:val="left"/>
              <w:rPr>
                <w:rFonts w:ascii="Times New Roman" w:hAnsi="Times New Roman"/>
                <w:color w:val="000000"/>
              </w:rPr>
            </w:pPr>
            <w:r>
              <w:rPr>
                <w:rFonts w:cs="Arial" w:ascii="Times New Roman" w:hAnsi="Times New Roman"/>
                <w:b/>
                <w:bCs/>
                <w:color w:val="000000"/>
                <w:sz w:val="20"/>
                <w:szCs w:val="20"/>
              </w:rPr>
              <w:t>VALOR TOTAL</w:t>
            </w:r>
          </w:p>
        </w:tc>
      </w:tr>
      <w:tr>
        <w:trPr>
          <w:trHeight w:val="3844" w:hRule="exact"/>
        </w:trPr>
        <w:tc>
          <w:tcPr>
            <w:tcW w:w="103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ind w:left="567"/>
              <w:jc w:val="center"/>
              <w:rPr>
                <w:rFonts w:ascii="Times New Roman" w:hAnsi="Times New Roman"/>
                <w:color w:val="000000"/>
              </w:rPr>
            </w:pPr>
            <w:r>
              <w:rPr>
                <w:rFonts w:cs="Arial" w:ascii="Times New Roman" w:hAnsi="Times New Roman"/>
                <w:b/>
                <w:color w:val="000000"/>
                <w:sz w:val="20"/>
                <w:szCs w:val="20"/>
              </w:rPr>
              <w:t>1</w:t>
            </w:r>
          </w:p>
        </w:tc>
        <w:tc>
          <w:tcPr>
            <w:tcW w:w="199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right="3"/>
              <w:jc w:val="both"/>
              <w:rPr>
                <w:rFonts w:ascii="Times New Roman" w:hAnsi="Times New Roman"/>
                <w:color w:val="000000"/>
              </w:rPr>
            </w:pPr>
            <w:r>
              <w:rPr>
                <w:rFonts w:eastAsia="Times New Roman" w:cs="Times New Roman" w:ascii="Times New Roman" w:hAnsi="Times New Roman"/>
                <w:color w:val="000000"/>
                <w:sz w:val="24"/>
                <w:szCs w:val="24"/>
              </w:rPr>
              <w:t>Estudo ambiental do tipo Relatório de Controle Ambiental e Plano de Controle Ambiental (RCA/PCA) da atividade de desmilitarização e destruição de munição do Depósito Central de Munição.</w:t>
            </w:r>
          </w:p>
        </w:tc>
        <w:tc>
          <w:tcPr>
            <w:tcW w:w="112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Times New Roman" w:hAnsi="Times New Roman"/>
                <w:color w:val="000000"/>
              </w:rPr>
            </w:pPr>
            <w:r>
              <w:rPr>
                <w:rFonts w:ascii="Times New Roman" w:hAnsi="Times New Roman"/>
                <w:color w:val="000000"/>
              </w:rPr>
              <w:t>22144</w:t>
            </w:r>
          </w:p>
        </w:tc>
        <w:tc>
          <w:tcPr>
            <w:tcW w:w="142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Times New Roman" w:hAnsi="Times New Roman"/>
                <w:color w:val="000000"/>
              </w:rPr>
            </w:pPr>
            <w:r>
              <w:rPr>
                <w:rFonts w:ascii="Times New Roman" w:hAnsi="Times New Roman"/>
                <w:color w:val="000000"/>
              </w:rPr>
              <w:t>Unidade</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Times New Roman" w:hAnsi="Times New Roman"/>
                <w:color w:val="000000"/>
              </w:rPr>
            </w:pPr>
            <w:r>
              <w:rPr>
                <w:rFonts w:ascii="Times New Roman" w:hAnsi="Times New Roman"/>
                <w:color w:val="000000"/>
              </w:rPr>
              <w:t>01</w:t>
            </w:r>
          </w:p>
        </w:tc>
        <w:tc>
          <w:tcPr>
            <w:tcW w:w="130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Times New Roman" w:hAnsi="Times New Roman"/>
                <w:color w:val="000000"/>
              </w:rPr>
            </w:pPr>
            <w:r>
              <w:rPr>
                <w:rFonts w:cs="Arial" w:ascii="Times New Roman" w:hAnsi="Times New Roman"/>
                <w:color w:val="000000"/>
                <w:sz w:val="20"/>
                <w:szCs w:val="20"/>
              </w:rPr>
              <w:t>R$ 300.000,00</w:t>
            </w:r>
          </w:p>
        </w:tc>
        <w:tc>
          <w:tcPr>
            <w:tcW w:w="130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Times New Roman" w:hAnsi="Times New Roman"/>
                <w:color w:val="000000"/>
              </w:rPr>
            </w:pPr>
            <w:r>
              <w:rPr>
                <w:rFonts w:cs="Arial" w:ascii="Times New Roman" w:hAnsi="Times New Roman"/>
                <w:color w:val="000000"/>
                <w:sz w:val="20"/>
                <w:szCs w:val="20"/>
              </w:rPr>
              <w:t>R$ 300.000,00</w:t>
            </w:r>
          </w:p>
        </w:tc>
      </w:tr>
      <w:tr>
        <w:trPr>
          <w:trHeight w:val="915" w:hRule="exact"/>
        </w:trPr>
        <w:tc>
          <w:tcPr>
            <w:tcW w:w="8159" w:type="dxa"/>
            <w:gridSpan w:val="6"/>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jc w:val="center"/>
              <w:rPr>
                <w:rFonts w:ascii="Times New Roman" w:hAnsi="Times New Roman"/>
                <w:color w:val="000000"/>
              </w:rPr>
            </w:pPr>
            <w:r>
              <w:rPr>
                <w:rFonts w:cs="Arial" w:ascii="Times New Roman" w:hAnsi="Times New Roman"/>
                <w:b/>
                <w:color w:val="000000"/>
                <w:sz w:val="20"/>
                <w:szCs w:val="20"/>
              </w:rPr>
              <w:t>TOTAL</w:t>
            </w:r>
          </w:p>
        </w:tc>
        <w:tc>
          <w:tcPr>
            <w:tcW w:w="130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Times New Roman" w:hAnsi="Times New Roman"/>
                <w:color w:val="000000"/>
              </w:rPr>
            </w:pPr>
            <w:r>
              <w:rPr>
                <w:rFonts w:ascii="Times New Roman" w:hAnsi="Times New Roman"/>
                <w:color w:val="000000"/>
              </w:rPr>
              <w:t>R$ 300.000,00</w:t>
            </w:r>
          </w:p>
        </w:tc>
      </w:tr>
    </w:tbl>
    <w:p>
      <w:pPr>
        <w:pStyle w:val="Normal"/>
        <w:widowControl/>
        <w:numPr>
          <w:ilvl w:val="1"/>
          <w:numId w:val="1"/>
        </w:numPr>
        <w:suppressAutoHyphens w:val="true"/>
        <w:bidi w:val="0"/>
        <w:spacing w:before="0" w:after="0"/>
        <w:ind w:hanging="0" w:left="340" w:right="0"/>
        <w:jc w:val="left"/>
        <w:rPr>
          <w:rFonts w:ascii="Times New Roman" w:hAnsi="Times New Roman"/>
          <w:color w:val="000000"/>
        </w:rPr>
      </w:pPr>
      <w:r>
        <w:rPr>
          <w:rFonts w:ascii="Times New Roman" w:hAnsi="Times New Roman"/>
          <w:color w:val="000000"/>
        </w:rPr>
        <w:t>O serviço objeto desta contratação é caracterizado como comum, conforme justificativa constante do Estudo Técnico Preliminar.</w:t>
      </w:r>
    </w:p>
    <w:p>
      <w:pPr>
        <w:pStyle w:val="Normal"/>
        <w:ind w:left="567"/>
        <w:rPr>
          <w:rFonts w:ascii="Times New Roman" w:hAnsi="Times New Roman"/>
          <w:color w:val="000000"/>
          <w:highlight w:val="yellow"/>
        </w:rPr>
      </w:pPr>
      <w:r>
        <w:rPr>
          <w:rFonts w:ascii="Times New Roman" w:hAnsi="Times New Roman"/>
          <w:color w:val="000000"/>
          <w:highlight w:val="yellow"/>
        </w:rPr>
      </w:r>
    </w:p>
    <w:p>
      <w:pPr>
        <w:pStyle w:val="Normal"/>
        <w:numPr>
          <w:ilvl w:val="1"/>
          <w:numId w:val="1"/>
        </w:numPr>
        <w:ind w:hanging="432" w:left="567"/>
        <w:rPr>
          <w:rFonts w:ascii="Times New Roman" w:hAnsi="Times New Roman"/>
          <w:color w:val="000000"/>
        </w:rPr>
      </w:pPr>
      <w:r>
        <w:rPr>
          <w:rFonts w:ascii="Times New Roman" w:hAnsi="Times New Roman"/>
          <w:color w:val="000000"/>
        </w:rPr>
        <w:t>O prazo de vigência da contratação é de 12 (doze) meses contados da data de homologação deste certame, na forma do artigo 105 da Lei n° 14.133, de 2021.</w:t>
      </w:r>
    </w:p>
    <w:p>
      <w:pPr>
        <w:pStyle w:val="Normal"/>
        <w:numPr>
          <w:ilvl w:val="1"/>
          <w:numId w:val="1"/>
        </w:numPr>
        <w:ind w:hanging="432" w:left="567"/>
        <w:rPr>
          <w:rFonts w:ascii="Times New Roman" w:hAnsi="Times New Roman"/>
          <w:color w:val="000000"/>
        </w:rPr>
      </w:pPr>
      <w:r>
        <w:rPr>
          <w:rFonts w:ascii="Times New Roman" w:hAnsi="Times New Roman"/>
          <w:color w:val="000000"/>
        </w:rPr>
        <w:t>O contrato oferece maior detalhamento das regras que serão aplicadas em relação à vigência da contratação.</w:t>
      </w:r>
    </w:p>
    <w:p>
      <w:pPr>
        <w:pStyle w:val="Normal"/>
        <w:ind w:hanging="432" w:left="567"/>
        <w:rPr>
          <w:rFonts w:ascii="Times New Roman" w:hAnsi="Times New Roman"/>
          <w:color w:val="000000"/>
        </w:rPr>
      </w:pPr>
      <w:r>
        <w:rPr>
          <w:rFonts w:ascii="Times New Roman" w:hAnsi="Times New Roman"/>
          <w:color w:val="000000"/>
        </w:rPr>
      </w:r>
    </w:p>
    <w:p>
      <w:pPr>
        <w:pStyle w:val="Normal"/>
        <w:numPr>
          <w:ilvl w:val="0"/>
          <w:numId w:val="1"/>
        </w:numPr>
        <w:ind w:hanging="357" w:left="567"/>
        <w:rPr>
          <w:b/>
          <w:bCs/>
        </w:rPr>
      </w:pPr>
      <w:r>
        <w:rPr>
          <w:rFonts w:ascii="Times New Roman" w:hAnsi="Times New Roman"/>
          <w:b/>
          <w:bCs/>
          <w:color w:val="000000"/>
        </w:rPr>
        <w:t>FUNDAMENTAÇÃO E DESCRIÇÃO DA NECESSIDADE DA CONTRATAÇÃO</w:t>
      </w:r>
    </w:p>
    <w:p>
      <w:pPr>
        <w:pStyle w:val="Normal"/>
        <w:numPr>
          <w:ilvl w:val="1"/>
          <w:numId w:val="1"/>
        </w:numPr>
        <w:ind w:hanging="432" w:left="567"/>
        <w:rPr>
          <w:rFonts w:ascii="Times New Roman" w:hAnsi="Times New Roman"/>
          <w:color w:val="000000"/>
        </w:rPr>
      </w:pPr>
      <w:r>
        <w:rPr>
          <w:rFonts w:ascii="Times New Roman" w:hAnsi="Times New Roman"/>
          <w:color w:val="000000"/>
        </w:rPr>
        <w:t>A Fundamentação da Contratação e de seus quantitativos encontra-se pormenorizada em tópico específico dos Estudos Técnicos Preliminares, apêndice deste Termo de Referência.</w:t>
      </w:r>
    </w:p>
    <w:p>
      <w:pPr>
        <w:pStyle w:val="Normal"/>
        <w:numPr>
          <w:ilvl w:val="1"/>
          <w:numId w:val="1"/>
        </w:numPr>
        <w:ind w:hanging="432" w:left="567"/>
        <w:rPr>
          <w:rFonts w:ascii="Times New Roman" w:hAnsi="Times New Roman"/>
          <w:color w:val="000000"/>
        </w:rPr>
      </w:pPr>
      <w:r>
        <w:rPr>
          <w:rFonts w:ascii="Times New Roman" w:hAnsi="Times New Roman"/>
          <w:color w:val="000000"/>
        </w:rPr>
        <w:t>O objeto da contratação está previsto no Plano de Contratações Anual 2025 conforme consta das informações básicas desse termo de referência.</w:t>
      </w:r>
    </w:p>
    <w:p>
      <w:pPr>
        <w:pStyle w:val="Normal"/>
        <w:ind w:hanging="432" w:left="567"/>
        <w:rPr>
          <w:rFonts w:ascii="Times New Roman" w:hAnsi="Times New Roman"/>
          <w:color w:val="000000"/>
        </w:rPr>
      </w:pPr>
      <w:r>
        <w:rPr>
          <w:rFonts w:ascii="Times New Roman" w:hAnsi="Times New Roman"/>
          <w:color w:val="000000"/>
        </w:rPr>
      </w:r>
    </w:p>
    <w:p>
      <w:pPr>
        <w:pStyle w:val="Normal"/>
        <w:numPr>
          <w:ilvl w:val="0"/>
          <w:numId w:val="1"/>
        </w:numPr>
        <w:ind w:hanging="357" w:left="567"/>
        <w:rPr>
          <w:b/>
          <w:bCs/>
          <w:sz w:val="24"/>
          <w:szCs w:val="24"/>
        </w:rPr>
      </w:pPr>
      <w:r>
        <w:rPr>
          <w:rFonts w:ascii="Times New Roman" w:hAnsi="Times New Roman"/>
          <w:b/>
          <w:bCs/>
          <w:i w:val="false"/>
          <w:iCs w:val="false"/>
          <w:color w:val="000000"/>
          <w:sz w:val="24"/>
          <w:szCs w:val="24"/>
        </w:rPr>
        <w:t>DESCRIÇÃO DA SOLUÇÃO COMO UM TODO CONSIDERADO O CICLO DE VIDA DO OBJETO</w:t>
      </w:r>
    </w:p>
    <w:p>
      <w:pPr>
        <w:pStyle w:val="Normal"/>
        <w:widowControl/>
        <w:numPr>
          <w:ilvl w:val="1"/>
          <w:numId w:val="1"/>
        </w:numPr>
        <w:bidi w:val="0"/>
        <w:spacing w:lineRule="auto" w:line="276" w:before="120" w:after="120"/>
        <w:ind w:hanging="432" w:left="567"/>
        <w:jc w:val="left"/>
        <w:rPr>
          <w:sz w:val="24"/>
          <w:szCs w:val="24"/>
        </w:rPr>
      </w:pPr>
      <w:bookmarkStart w:id="1" w:name="_Ref121236534"/>
      <w:r>
        <w:rPr>
          <w:rFonts w:eastAsia="Arial" w:cs="Arial" w:ascii="Times New Roman" w:hAnsi="Times New Roman"/>
          <w:b w:val="false"/>
          <w:bCs w:val="false"/>
          <w:i w:val="false"/>
          <w:iCs w:val="false"/>
          <w:color w:val="000000"/>
          <w:sz w:val="24"/>
          <w:szCs w:val="24"/>
          <w:lang w:eastAsia="pt-BR"/>
        </w:rPr>
        <w:t>A descrição da solução como um todo encontra-se pormenorizada em tópico específico dos Estudos Técnicos Preliminares, apêndice deste Termo de Referência.</w:t>
      </w:r>
      <w:bookmarkEnd w:id="1"/>
    </w:p>
    <w:p>
      <w:pPr>
        <w:pStyle w:val="Normal"/>
        <w:numPr>
          <w:ilvl w:val="0"/>
          <w:numId w:val="1"/>
        </w:numPr>
        <w:ind w:hanging="357" w:left="567"/>
        <w:rPr>
          <w:b/>
          <w:bCs/>
        </w:rPr>
      </w:pPr>
      <w:r>
        <w:rPr>
          <w:rFonts w:ascii="Times New Roman" w:hAnsi="Times New Roman"/>
          <w:b/>
          <w:bCs/>
          <w:color w:val="000000"/>
        </w:rPr>
        <w:t>REQUISITOS DA CONTRATAÇÃO</w:t>
      </w:r>
    </w:p>
    <w:p>
      <w:pPr>
        <w:pStyle w:val="Normal"/>
        <w:widowControl/>
        <w:numPr>
          <w:ilvl w:val="0"/>
          <w:numId w:val="0"/>
        </w:numPr>
        <w:shd w:val="clear" w:color="auto" w:fill="auto"/>
        <w:suppressAutoHyphens w:val="true"/>
        <w:bidi w:val="0"/>
        <w:spacing w:lineRule="auto" w:line="276" w:before="120" w:after="120"/>
        <w:ind w:hanging="0" w:left="567"/>
        <w:jc w:val="both"/>
        <w:rPr>
          <w:rFonts w:ascii="Times New Roman" w:hAnsi="Times New Roman"/>
          <w:color w:val="000000"/>
        </w:rPr>
      </w:pPr>
      <w:r>
        <w:rPr>
          <w:rFonts w:eastAsia="Arial" w:cs="Arial" w:ascii="Times New Roman" w:hAnsi="Times New Roman"/>
          <w:b/>
          <w:i/>
          <w:iCs w:val="false"/>
          <w:color w:val="000000"/>
          <w:kern w:val="0"/>
          <w:sz w:val="20"/>
          <w:szCs w:val="20"/>
          <w:lang w:val="pt-BR" w:eastAsia="pt-BR" w:bidi="ar-SA"/>
        </w:rPr>
        <w:t>Sustentabilidade</w:t>
      </w:r>
    </w:p>
    <w:p>
      <w:pPr>
        <w:pStyle w:val="Normal"/>
        <w:numPr>
          <w:ilvl w:val="1"/>
          <w:numId w:val="1"/>
        </w:numPr>
        <w:ind w:hanging="432" w:left="567"/>
        <w:rPr>
          <w:rFonts w:ascii="Times New Roman" w:hAnsi="Times New Roman"/>
          <w:color w:val="000000"/>
        </w:rPr>
      </w:pPr>
      <w:r>
        <w:rPr>
          <w:rFonts w:ascii="Times New Roman" w:hAnsi="Times New Roman"/>
          <w:color w:val="000000"/>
        </w:rPr>
        <w:t>Além dos critérios de sustentabilidade eventualmente inseridos na descrição do objeto, devem ser atendidos os seguintes requisitos, que se baseiam no Guia Nacional de Contratações Sustentáveis:</w:t>
      </w:r>
    </w:p>
    <w:p>
      <w:pPr>
        <w:pStyle w:val="Normal"/>
        <w:numPr>
          <w:ilvl w:val="2"/>
          <w:numId w:val="1"/>
        </w:numPr>
        <w:ind w:hanging="432" w:left="567"/>
        <w:rPr>
          <w:rFonts w:ascii="Times New Roman" w:hAnsi="Times New Roman"/>
          <w:color w:val="000000"/>
        </w:rPr>
      </w:pPr>
      <w:r>
        <w:rPr>
          <w:rFonts w:ascii="Times New Roman" w:hAnsi="Times New Roman"/>
          <w:color w:val="000000"/>
        </w:rPr>
        <w:t>Verificou-se que o presente OBJETO e suas respectivas etapas não constam no GUIA</w:t>
        <w:br/>
        <w:t>NACIONAL DE CONTRATAÇÕES SUSTENTÁVEIS; adicionalmente verificou-se que não há</w:t>
        <w:br/>
        <w:t>legislação específica. Consequentemente, o presente OBJETO só está sujeita aos critérios de sustentabilidade presentes no Estudo Técnico Preliminar.</w:t>
      </w:r>
    </w:p>
    <w:p>
      <w:pPr>
        <w:pStyle w:val="Normal"/>
        <w:ind w:hanging="0" w:left="567"/>
        <w:rPr>
          <w:rFonts w:ascii="Times New Roman" w:hAnsi="Times New Roman"/>
          <w:color w:val="000000"/>
        </w:rPr>
      </w:pPr>
      <w:r>
        <w:rPr>
          <w:rFonts w:ascii="Times New Roman" w:hAnsi="Times New Roman"/>
          <w:color w:val="000000"/>
        </w:rPr>
        <w:t>Da exigência de carta de solidariedade</w:t>
      </w:r>
    </w:p>
    <w:p>
      <w:pPr>
        <w:pStyle w:val="Normal"/>
        <w:numPr>
          <w:ilvl w:val="1"/>
          <w:numId w:val="1"/>
        </w:numPr>
        <w:ind w:hanging="432" w:left="567"/>
        <w:rPr>
          <w:rFonts w:ascii="Times New Roman" w:hAnsi="Times New Roman"/>
          <w:color w:val="000000"/>
        </w:rPr>
      </w:pPr>
      <w:r>
        <w:rPr>
          <w:rFonts w:ascii="Times New Roman" w:hAnsi="Times New Roman"/>
          <w:color w:val="000000"/>
        </w:rPr>
        <w:t>Em caso de fornecedor, revendedor ou distribuidor, será exigida carta de solidariedade emitida pelo fabricante, que assegure a execução do contrato.</w:t>
      </w:r>
    </w:p>
    <w:p>
      <w:pPr>
        <w:pStyle w:val="Normal"/>
        <w:numPr>
          <w:ilvl w:val="0"/>
          <w:numId w:val="0"/>
        </w:numPr>
        <w:ind w:hanging="0" w:left="567"/>
        <w:rPr>
          <w:rFonts w:ascii="Times New Roman" w:hAnsi="Times New Roman"/>
          <w:color w:val="000000"/>
        </w:rPr>
      </w:pPr>
      <w:r>
        <w:rPr>
          <w:rFonts w:ascii="Times New Roman" w:hAnsi="Times New Roman"/>
          <w:color w:val="000000"/>
        </w:rPr>
        <w:t>Subcontratação</w:t>
      </w:r>
    </w:p>
    <w:p>
      <w:pPr>
        <w:pStyle w:val="Normal"/>
        <w:numPr>
          <w:ilvl w:val="1"/>
          <w:numId w:val="1"/>
        </w:numPr>
        <w:ind w:hanging="432" w:left="567"/>
        <w:rPr>
          <w:rFonts w:ascii="Times New Roman" w:hAnsi="Times New Roman"/>
          <w:color w:val="000000"/>
        </w:rPr>
      </w:pPr>
      <w:r>
        <w:rPr>
          <w:rFonts w:ascii="Times New Roman" w:hAnsi="Times New Roman"/>
          <w:color w:val="000000"/>
        </w:rPr>
        <w:t>Não será admitida a subcontratação do objeto contratual.</w:t>
      </w:r>
    </w:p>
    <w:p>
      <w:pPr>
        <w:pStyle w:val="Normal"/>
        <w:ind w:hanging="0" w:left="567"/>
        <w:rPr>
          <w:rFonts w:ascii="Times New Roman" w:hAnsi="Times New Roman"/>
          <w:color w:val="000000"/>
        </w:rPr>
      </w:pPr>
      <w:r>
        <w:rPr>
          <w:rFonts w:ascii="Times New Roman" w:hAnsi="Times New Roman"/>
          <w:color w:val="000000"/>
        </w:rPr>
        <w:t>Garantia da contratação</w:t>
      </w:r>
    </w:p>
    <w:p>
      <w:pPr>
        <w:pStyle w:val="Normal"/>
        <w:numPr>
          <w:ilvl w:val="1"/>
          <w:numId w:val="1"/>
        </w:numPr>
        <w:ind w:hanging="432" w:left="567"/>
        <w:rPr>
          <w:rFonts w:ascii="Times New Roman" w:hAnsi="Times New Roman"/>
          <w:color w:val="000000"/>
        </w:rPr>
      </w:pPr>
      <w:r>
        <w:rPr>
          <w:rFonts w:ascii="Times New Roman" w:hAnsi="Times New Roman"/>
          <w:color w:val="000000"/>
        </w:rPr>
        <w:t>Será exigida a garantia da contratação de que tratam os arts. 96 e seguintes da Lei nº 14.133, de 2021, no percentual e condições descritas nas cláusulas do contrato.</w:t>
      </w:r>
    </w:p>
    <w:p>
      <w:pPr>
        <w:pStyle w:val="Normal"/>
        <w:numPr>
          <w:ilvl w:val="1"/>
          <w:numId w:val="1"/>
        </w:numPr>
        <w:ind w:hanging="432" w:left="567"/>
        <w:rPr>
          <w:rFonts w:ascii="Times New Roman" w:hAnsi="Times New Roman"/>
          <w:color w:val="000000"/>
        </w:rPr>
      </w:pPr>
      <w:r>
        <w:rPr>
          <w:rFonts w:ascii="Times New Roman" w:hAnsi="Times New Roman"/>
          <w:color w:val="000000"/>
        </w:rPr>
        <w:t>Em caso opção pelo seguro-garantia, a parte adjudicatária terá prazo de um mês, contado da data de homologação da licitação, para sua apresentação, que deve ocorrer antes da assinatura do contrato.</w:t>
      </w:r>
    </w:p>
    <w:p>
      <w:pPr>
        <w:pStyle w:val="Normal"/>
        <w:numPr>
          <w:ilvl w:val="1"/>
          <w:numId w:val="1"/>
        </w:numPr>
        <w:ind w:hanging="432" w:left="567"/>
        <w:rPr>
          <w:rFonts w:ascii="Times New Roman" w:hAnsi="Times New Roman"/>
          <w:color w:val="000000"/>
        </w:rPr>
      </w:pPr>
      <w:r>
        <w:rPr>
          <w:rFonts w:ascii="Times New Roman" w:hAnsi="Times New Roman"/>
          <w:color w:val="000000"/>
        </w:rPr>
        <w:t>A garantia, nas modalidades caução e fiança bancária, deverá ser prestada em até 10 dias úteis após a assinatura do contrato.</w:t>
      </w:r>
    </w:p>
    <w:p>
      <w:pPr>
        <w:pStyle w:val="Normal"/>
        <w:numPr>
          <w:ilvl w:val="1"/>
          <w:numId w:val="1"/>
        </w:numPr>
        <w:ind w:hanging="432" w:left="567"/>
        <w:rPr>
          <w:rFonts w:ascii="Times New Roman" w:hAnsi="Times New Roman"/>
          <w:color w:val="000000"/>
        </w:rPr>
      </w:pPr>
      <w:r>
        <w:rPr>
          <w:rFonts w:ascii="Times New Roman" w:hAnsi="Times New Roman"/>
          <w:color w:val="000000"/>
        </w:rPr>
        <w:t>O contrato oferece maior detalhamento das regras que serão aplicadas em relação à garantia da contratação.</w:t>
      </w:r>
    </w:p>
    <w:p>
      <w:pPr>
        <w:pStyle w:val="Normal"/>
        <w:ind w:hanging="0" w:left="567"/>
        <w:rPr>
          <w:rFonts w:ascii="Times New Roman" w:hAnsi="Times New Roman"/>
          <w:color w:val="000000"/>
        </w:rPr>
      </w:pPr>
      <w:r>
        <w:rPr>
          <w:rFonts w:ascii="Times New Roman" w:hAnsi="Times New Roman"/>
          <w:color w:val="000000"/>
        </w:rPr>
        <w:t>Vistoria</w:t>
      </w:r>
    </w:p>
    <w:p>
      <w:pPr>
        <w:pStyle w:val="Normal"/>
        <w:numPr>
          <w:ilvl w:val="1"/>
          <w:numId w:val="1"/>
        </w:numPr>
        <w:ind w:hanging="432" w:left="567"/>
        <w:rPr>
          <w:rFonts w:ascii="Times New Roman" w:hAnsi="Times New Roman"/>
          <w:color w:val="000000"/>
        </w:rPr>
      </w:pPr>
      <w:r>
        <w:rPr>
          <w:rFonts w:ascii="Times New Roman" w:hAnsi="Times New Roman"/>
          <w:color w:val="000000"/>
        </w:rPr>
        <w:t>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10:00 horas às 16:00 horas.  </w:t>
      </w:r>
    </w:p>
    <w:p>
      <w:pPr>
        <w:pStyle w:val="Normal"/>
        <w:numPr>
          <w:ilvl w:val="1"/>
          <w:numId w:val="1"/>
        </w:numPr>
        <w:ind w:hanging="432" w:left="567"/>
        <w:rPr>
          <w:rFonts w:ascii="Times New Roman" w:hAnsi="Times New Roman"/>
          <w:color w:val="000000"/>
        </w:rPr>
      </w:pPr>
      <w:r>
        <w:rPr>
          <w:rFonts w:ascii="Times New Roman" w:hAnsi="Times New Roman"/>
          <w:color w:val="000000"/>
        </w:rPr>
        <w:t>Serão disponibilizados data e horário diferentes aos interessados em realizar a vistoria prévia. </w:t>
      </w:r>
    </w:p>
    <w:p>
      <w:pPr>
        <w:pStyle w:val="Normal"/>
        <w:numPr>
          <w:ilvl w:val="1"/>
          <w:numId w:val="1"/>
        </w:numPr>
        <w:ind w:hanging="432" w:left="567"/>
        <w:rPr>
          <w:rFonts w:ascii="Times New Roman" w:hAnsi="Times New Roman"/>
          <w:color w:val="000000"/>
        </w:rPr>
      </w:pPr>
      <w:r>
        <w:rPr>
          <w:rFonts w:ascii="Times New Roman" w:hAnsi="Times New Roman"/>
          <w:color w:val="000000"/>
          <w:lang w:eastAsia="en-US"/>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pPr>
        <w:pStyle w:val="Normal"/>
        <w:numPr>
          <w:ilvl w:val="1"/>
          <w:numId w:val="1"/>
        </w:numPr>
        <w:ind w:hanging="432" w:left="567"/>
        <w:rPr>
          <w:rFonts w:ascii="Times New Roman" w:hAnsi="Times New Roman"/>
          <w:color w:val="000000"/>
        </w:rPr>
      </w:pPr>
      <w:r>
        <w:rPr>
          <w:rFonts w:ascii="Times New Roman" w:hAnsi="Times New Roman"/>
          <w:color w:val="000000"/>
        </w:rPr>
        <w:t>Caso o licitante opte por não realizar a vistoria, deverá prestar declaração formal assinada pelo responsável técnico do licitante acerca do conhecimento pleno das condições e peculiaridades da contratação.</w:t>
      </w:r>
    </w:p>
    <w:p>
      <w:pPr>
        <w:pStyle w:val="Normal"/>
        <w:numPr>
          <w:ilvl w:val="1"/>
          <w:numId w:val="1"/>
        </w:numPr>
        <w:ind w:hanging="432" w:left="567"/>
        <w:rPr>
          <w:rFonts w:ascii="Times New Roman" w:hAnsi="Times New Roman"/>
          <w:color w:val="000000"/>
        </w:rPr>
      </w:pPr>
      <w:r>
        <w:rPr>
          <w:rFonts w:ascii="Times New Roman" w:hAnsi="Times New Roman"/>
          <w:color w:val="000000"/>
          <w:lang w:eastAsia="en-US"/>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pPr>
        <w:pStyle w:val="Normal"/>
        <w:ind w:hanging="432" w:left="567"/>
        <w:rPr>
          <w:rFonts w:ascii="Times New Roman" w:hAnsi="Times New Roman"/>
          <w:color w:val="000000"/>
        </w:rPr>
      </w:pPr>
      <w:r>
        <w:rPr>
          <w:rFonts w:ascii="Times New Roman" w:hAnsi="Times New Roman"/>
          <w:color w:val="000000"/>
        </w:rPr>
      </w:r>
    </w:p>
    <w:p>
      <w:pPr>
        <w:pStyle w:val="Normal"/>
        <w:numPr>
          <w:ilvl w:val="0"/>
          <w:numId w:val="1"/>
        </w:numPr>
        <w:ind w:hanging="357" w:left="567"/>
        <w:rPr>
          <w:b/>
          <w:bCs/>
        </w:rPr>
      </w:pPr>
      <w:r>
        <w:rPr>
          <w:rFonts w:ascii="Times New Roman" w:hAnsi="Times New Roman"/>
          <w:b/>
          <w:bCs/>
          <w:color w:val="000000"/>
        </w:rPr>
        <w:t>MODELO DE EXECUÇÃO DO OBJETO</w:t>
      </w:r>
    </w:p>
    <w:p>
      <w:pPr>
        <w:pStyle w:val="Normal"/>
        <w:ind w:hanging="0" w:left="567"/>
        <w:rPr>
          <w:rFonts w:ascii="Times New Roman" w:hAnsi="Times New Roman"/>
          <w:color w:val="000000"/>
        </w:rPr>
      </w:pPr>
      <w:r>
        <w:rPr>
          <w:rFonts w:ascii="Times New Roman" w:hAnsi="Times New Roman"/>
          <w:color w:val="000000"/>
        </w:rPr>
        <w:t>Condições de execução</w:t>
      </w:r>
    </w:p>
    <w:p>
      <w:pPr>
        <w:pStyle w:val="Normal"/>
        <w:numPr>
          <w:ilvl w:val="1"/>
          <w:numId w:val="1"/>
        </w:numPr>
        <w:ind w:hanging="432" w:left="567"/>
        <w:rPr>
          <w:rFonts w:ascii="Times New Roman" w:hAnsi="Times New Roman"/>
          <w:color w:val="000000"/>
        </w:rPr>
      </w:pPr>
      <w:r>
        <w:rPr>
          <w:rFonts w:ascii="Times New Roman" w:hAnsi="Times New Roman"/>
          <w:color w:val="000000"/>
        </w:rPr>
        <w:t>A execução do objeto seguirá a seguinte dinâmica:</w:t>
      </w:r>
    </w:p>
    <w:p>
      <w:pPr>
        <w:pStyle w:val="Normal"/>
        <w:numPr>
          <w:ilvl w:val="2"/>
          <w:numId w:val="122"/>
        </w:numPr>
        <w:ind w:hanging="0" w:left="567"/>
        <w:rPr>
          <w:rFonts w:ascii="Times New Roman" w:hAnsi="Times New Roman"/>
          <w:color w:val="000000"/>
        </w:rPr>
      </w:pPr>
      <w:r>
        <w:rPr>
          <w:rFonts w:ascii="Times New Roman" w:hAnsi="Times New Roman"/>
          <w:color w:val="000000"/>
        </w:rPr>
        <w:t xml:space="preserve">Início da execução do objeto: </w:t>
      </w:r>
      <w:r>
        <w:rPr>
          <w:rFonts w:ascii="Times New Roman" w:hAnsi="Times New Roman"/>
          <w:i/>
          <w:iCs/>
          <w:color w:val="000000"/>
        </w:rPr>
        <w:t>10</w:t>
      </w:r>
      <w:r>
        <w:rPr>
          <w:rFonts w:ascii="Times New Roman" w:hAnsi="Times New Roman"/>
          <w:color w:val="000000"/>
        </w:rPr>
        <w:t xml:space="preserve"> dias </w:t>
      </w:r>
      <w:r>
        <w:rPr>
          <w:rFonts w:ascii="Times New Roman" w:hAnsi="Times New Roman"/>
          <w:i/>
          <w:iCs/>
          <w:color w:val="000000"/>
        </w:rPr>
        <w:t>da assinatura do contrato</w:t>
      </w:r>
      <w:r>
        <w:rPr>
          <w:rFonts w:ascii="Times New Roman" w:hAnsi="Times New Roman"/>
          <w:color w:val="000000"/>
        </w:rPr>
        <w:t>.</w:t>
      </w:r>
    </w:p>
    <w:p>
      <w:pPr>
        <w:pStyle w:val="Normal"/>
        <w:ind w:hanging="0" w:left="567"/>
        <w:rPr>
          <w:rFonts w:ascii="Times New Roman" w:hAnsi="Times New Roman"/>
          <w:color w:val="000000"/>
        </w:rPr>
      </w:pPr>
      <w:r>
        <w:rPr>
          <w:rFonts w:ascii="Times New Roman" w:hAnsi="Times New Roman"/>
          <w:color w:val="000000"/>
        </w:rPr>
        <w:t>Local e horário da prestação dos serviços</w:t>
      </w:r>
    </w:p>
    <w:p>
      <w:pPr>
        <w:pStyle w:val="Normal"/>
        <w:numPr>
          <w:ilvl w:val="1"/>
          <w:numId w:val="1"/>
        </w:numPr>
        <w:ind w:hanging="0" w:left="567"/>
        <w:rPr>
          <w:rFonts w:ascii="Times New Roman" w:hAnsi="Times New Roman"/>
          <w:color w:val="000000"/>
        </w:rPr>
      </w:pPr>
      <w:r>
        <w:rPr>
          <w:rFonts w:ascii="Times New Roman" w:hAnsi="Times New Roman"/>
          <w:color w:val="000000"/>
        </w:rPr>
        <w:t xml:space="preserve">Os serviços serão prestados no seguinte endereço: </w:t>
      </w:r>
      <w:r>
        <w:rPr>
          <w:rFonts w:cs="Arial" w:ascii="Times New Roman" w:hAnsi="Times New Roman"/>
          <w:color w:val="000000"/>
          <w:sz w:val="20"/>
          <w:szCs w:val="20"/>
          <w:lang w:eastAsia="en-US"/>
        </w:rPr>
        <w:t>Rodovia RJ-127, km 06, s/n, Bairro Cabral, Paracambi - RJ</w:t>
      </w:r>
      <w:r>
        <w:rPr>
          <w:rFonts w:ascii="Times New Roman" w:hAnsi="Times New Roman"/>
          <w:color w:val="000000"/>
        </w:rPr>
        <w:t>;</w:t>
      </w:r>
    </w:p>
    <w:p>
      <w:pPr>
        <w:pStyle w:val="Normal"/>
        <w:numPr>
          <w:ilvl w:val="1"/>
          <w:numId w:val="1"/>
        </w:numPr>
        <w:ind w:hanging="0" w:left="567"/>
        <w:rPr>
          <w:rFonts w:ascii="Times New Roman" w:hAnsi="Times New Roman"/>
          <w:color w:val="000000"/>
        </w:rPr>
      </w:pPr>
      <w:r>
        <w:rPr>
          <w:rFonts w:ascii="Times New Roman" w:hAnsi="Times New Roman"/>
          <w:color w:val="000000"/>
        </w:rPr>
        <w:t>Os serviços serão prestados no seguinte horário: 10:00 às 16:00 horas</w:t>
      </w:r>
      <w:r>
        <w:rPr>
          <w:rFonts w:ascii="Times New Roman" w:hAnsi="Times New Roman"/>
          <w:i/>
          <w:color w:val="000000"/>
        </w:rPr>
        <w:t>.</w:t>
      </w:r>
    </w:p>
    <w:p>
      <w:pPr>
        <w:pStyle w:val="Normal"/>
        <w:ind w:hanging="0" w:left="567"/>
        <w:rPr>
          <w:rFonts w:ascii="Times New Roman" w:hAnsi="Times New Roman"/>
          <w:color w:val="000000"/>
        </w:rPr>
      </w:pPr>
      <w:r>
        <w:rPr>
          <w:rFonts w:ascii="Times New Roman" w:hAnsi="Times New Roman"/>
          <w:color w:val="000000"/>
        </w:rPr>
        <w:t>Rotinas a serem cumpridas</w:t>
      </w:r>
    </w:p>
    <w:p>
      <w:pPr>
        <w:pStyle w:val="Normal"/>
        <w:numPr>
          <w:ilvl w:val="2"/>
          <w:numId w:val="123"/>
        </w:numPr>
        <w:ind w:hanging="0" w:left="567"/>
        <w:rPr>
          <w:rFonts w:ascii="Times New Roman" w:hAnsi="Times New Roman"/>
          <w:color w:val="000000"/>
        </w:rPr>
      </w:pPr>
      <w:r>
        <w:rPr>
          <w:rFonts w:ascii="Times New Roman" w:hAnsi="Times New Roman"/>
          <w:color w:val="000000"/>
        </w:rPr>
        <w:t xml:space="preserve">A execução contratual observará as rotinas </w:t>
      </w:r>
      <w:r>
        <w:rPr>
          <w:rFonts w:ascii="Times New Roman" w:hAnsi="Times New Roman"/>
          <w:i/>
          <w:iCs/>
          <w:color w:val="000000"/>
        </w:rPr>
        <w:t>em anexo.</w:t>
      </w:r>
    </w:p>
    <w:p>
      <w:pPr>
        <w:pStyle w:val="Normal"/>
        <w:ind w:hanging="0" w:left="567"/>
        <w:rPr>
          <w:rFonts w:ascii="Times New Roman" w:hAnsi="Times New Roman"/>
          <w:color w:val="000000"/>
        </w:rPr>
      </w:pPr>
      <w:r>
        <w:rPr>
          <w:rFonts w:ascii="Times New Roman" w:hAnsi="Times New Roman"/>
          <w:color w:val="000000"/>
        </w:rPr>
        <w:t>Especificação da garantia do serviço</w:t>
      </w:r>
    </w:p>
    <w:p>
      <w:pPr>
        <w:pStyle w:val="Normal"/>
        <w:numPr>
          <w:ilvl w:val="1"/>
          <w:numId w:val="1"/>
        </w:numPr>
        <w:ind w:hanging="432" w:left="567"/>
        <w:rPr>
          <w:rFonts w:ascii="Times New Roman" w:hAnsi="Times New Roman"/>
          <w:color w:val="000000"/>
        </w:rPr>
      </w:pPr>
      <w:r>
        <w:rPr>
          <w:rFonts w:ascii="Times New Roman" w:hAnsi="Times New Roman"/>
          <w:color w:val="000000"/>
        </w:rPr>
        <w:t>O prazo de garantia contratual dos serviços é aquele estabelecido na Lei nº 8.078, de 11 de setembro de 1990 (Código de Defesa do Consumidor).</w:t>
      </w:r>
    </w:p>
    <w:p>
      <w:pPr>
        <w:pStyle w:val="Normal"/>
        <w:ind w:left="567"/>
        <w:rPr>
          <w:rFonts w:ascii="Times New Roman" w:hAnsi="Times New Roman"/>
          <w:color w:val="000000"/>
        </w:rPr>
      </w:pPr>
      <w:r>
        <w:rPr>
          <w:rFonts w:ascii="Times New Roman" w:hAnsi="Times New Roman"/>
          <w:color w:val="000000"/>
        </w:rPr>
        <w:t>OU</w:t>
      </w:r>
    </w:p>
    <w:p>
      <w:pPr>
        <w:pStyle w:val="Normal"/>
        <w:numPr>
          <w:ilvl w:val="1"/>
          <w:numId w:val="1"/>
        </w:numPr>
        <w:ind w:hanging="432" w:left="567"/>
        <w:rPr>
          <w:rFonts w:ascii="Times New Roman" w:hAnsi="Times New Roman"/>
          <w:color w:val="000000"/>
        </w:rPr>
      </w:pPr>
      <w:r>
        <w:rPr>
          <w:rFonts w:ascii="Times New Roman" w:hAnsi="Times New Roman"/>
          <w:color w:val="000000"/>
        </w:rPr>
        <w:t xml:space="preserve">O prazo de garantia contratual dos serviços, complementar à garantia legal da Lei nº 8.078, de 11 de setembro de 1990 (Código de Defesa do Consumidor), será de, no mínimo </w:t>
      </w:r>
      <w:r>
        <w:rPr>
          <w:rFonts w:ascii="Times New Roman" w:hAnsi="Times New Roman"/>
          <w:b/>
          <w:bCs/>
          <w:color w:val="000000"/>
        </w:rPr>
        <w:t>06</w:t>
      </w:r>
      <w:r>
        <w:rPr>
          <w:rFonts w:ascii="Times New Roman" w:hAnsi="Times New Roman"/>
          <w:color w:val="000000"/>
        </w:rPr>
        <w:t xml:space="preserve"> (</w:t>
      </w:r>
      <w:r>
        <w:rPr>
          <w:rFonts w:ascii="Times New Roman" w:hAnsi="Times New Roman"/>
          <w:b/>
          <w:bCs/>
          <w:color w:val="000000"/>
        </w:rPr>
        <w:t>seis</w:t>
      </w:r>
      <w:r>
        <w:rPr>
          <w:rFonts w:ascii="Times New Roman" w:hAnsi="Times New Roman"/>
          <w:color w:val="000000"/>
        </w:rPr>
        <w:t>) meses, contado a partir do primeiro dia útil subsequente à data do recebimento definitivo do objeto.</w:t>
      </w:r>
    </w:p>
    <w:p>
      <w:pPr>
        <w:pStyle w:val="Normal"/>
        <w:ind w:hanging="432" w:left="567"/>
        <w:rPr>
          <w:rFonts w:ascii="Times New Roman" w:hAnsi="Times New Roman"/>
          <w:color w:val="000000"/>
        </w:rPr>
      </w:pPr>
      <w:r>
        <w:rPr>
          <w:rFonts w:ascii="Times New Roman" w:hAnsi="Times New Roman"/>
          <w:color w:val="000000"/>
        </w:rPr>
      </w:r>
    </w:p>
    <w:p>
      <w:pPr>
        <w:pStyle w:val="Normal"/>
        <w:numPr>
          <w:ilvl w:val="0"/>
          <w:numId w:val="1"/>
        </w:numPr>
        <w:ind w:hanging="357" w:left="567"/>
        <w:rPr>
          <w:b/>
          <w:bCs/>
        </w:rPr>
      </w:pPr>
      <w:r>
        <w:rPr>
          <w:rFonts w:ascii="Times New Roman" w:hAnsi="Times New Roman"/>
          <w:b/>
          <w:bCs/>
          <w:color w:val="000000"/>
        </w:rPr>
        <w:t>MODELO DE GESTÃO DO CONTRATO</w:t>
      </w:r>
    </w:p>
    <w:p>
      <w:pPr>
        <w:pStyle w:val="Normal"/>
        <w:numPr>
          <w:ilvl w:val="1"/>
          <w:numId w:val="1"/>
        </w:numPr>
        <w:ind w:hanging="432" w:left="567"/>
        <w:rPr>
          <w:rFonts w:ascii="Times New Roman" w:hAnsi="Times New Roman"/>
          <w:color w:val="000000"/>
        </w:rPr>
      </w:pPr>
      <w:r>
        <w:rPr>
          <w:rFonts w:ascii="Times New Roman" w:hAnsi="Times New Roman"/>
          <w:i w:val="false"/>
          <w:iCs w:val="false"/>
          <w:color w:val="000000"/>
        </w:rPr>
        <w:t>O contrato deverá ser executado fielmente pelas partes, de acordo com as cláusulas avençadas e as normas da Lei nº 14.133, de 2021, e cada parte responderá pelas consequências de sua inexecução total ou parcial.</w:t>
      </w:r>
    </w:p>
    <w:p>
      <w:pPr>
        <w:pStyle w:val="Normal"/>
        <w:numPr>
          <w:ilvl w:val="1"/>
          <w:numId w:val="1"/>
        </w:numPr>
        <w:ind w:hanging="0" w:left="567"/>
        <w:rPr>
          <w:rFonts w:ascii="Times New Roman" w:hAnsi="Times New Roman"/>
          <w:color w:val="000000"/>
        </w:rPr>
      </w:pPr>
      <w:r>
        <w:rPr>
          <w:rFonts w:ascii="Times New Roman" w:hAnsi="Times New Roman"/>
          <w:color w:val="000000"/>
        </w:rPr>
        <w:t>Em caso de impedimento, ordem de paralisação ou suspensão do contrato, o cronograma de execução será prorrogado automaticamente pelo tempo correspondente, anotadas tais circunstâncias mediante simples apostila.</w:t>
      </w:r>
    </w:p>
    <w:p>
      <w:pPr>
        <w:pStyle w:val="Normal"/>
        <w:numPr>
          <w:ilvl w:val="1"/>
          <w:numId w:val="1"/>
        </w:numPr>
        <w:ind w:hanging="0" w:left="567"/>
        <w:rPr>
          <w:rFonts w:ascii="Times New Roman" w:hAnsi="Times New Roman"/>
          <w:color w:val="000000"/>
        </w:rPr>
      </w:pPr>
      <w:r>
        <w:rPr>
          <w:rFonts w:ascii="Times New Roman" w:hAnsi="Times New Roman"/>
          <w:color w:val="000000"/>
        </w:rPr>
        <w:t>As comunicações entre o órgão ou entidade e o  Contratado devem ser realizadas por escrito sempre que o ato exigir tal formalidade, admitindo-se o uso de mensagem eletrônica para esse fim.</w:t>
      </w:r>
    </w:p>
    <w:p>
      <w:pPr>
        <w:pStyle w:val="Normal"/>
        <w:numPr>
          <w:ilvl w:val="1"/>
          <w:numId w:val="1"/>
        </w:numPr>
        <w:ind w:hanging="0" w:left="567"/>
        <w:rPr>
          <w:rFonts w:ascii="Times New Roman" w:hAnsi="Times New Roman"/>
          <w:color w:val="000000"/>
        </w:rPr>
      </w:pPr>
      <w:r>
        <w:rPr>
          <w:rFonts w:ascii="Times New Roman" w:hAnsi="Times New Roman"/>
          <w:color w:val="000000"/>
        </w:rPr>
        <w:t>O órgão ou entidade poderá convocar o preposto da empresa para adoção de providências que devam ser cumpridas de imediato.</w:t>
      </w:r>
    </w:p>
    <w:p>
      <w:pPr>
        <w:pStyle w:val="Normal"/>
        <w:numPr>
          <w:ilvl w:val="1"/>
          <w:numId w:val="1"/>
        </w:numPr>
        <w:ind w:hanging="432" w:left="567"/>
        <w:rPr>
          <w:rFonts w:ascii="Times New Roman" w:hAnsi="Times New Roman"/>
          <w:color w:val="000000"/>
        </w:rPr>
      </w:pPr>
      <w:r>
        <w:rPr>
          <w:rFonts w:ascii="Times New Roman" w:hAnsi="Times New Roman"/>
          <w:i w:val="false"/>
          <w:iCs w:val="false"/>
          <w:color w:val="000000"/>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pPr>
        <w:pStyle w:val="Normal"/>
        <w:ind w:hanging="0" w:left="567"/>
        <w:rPr>
          <w:rFonts w:ascii="Times New Roman" w:hAnsi="Times New Roman"/>
          <w:color w:val="000000"/>
        </w:rPr>
      </w:pPr>
      <w:r>
        <w:rPr>
          <w:rFonts w:ascii="Times New Roman" w:hAnsi="Times New Roman"/>
          <w:color w:val="000000"/>
        </w:rPr>
        <w:t>Preposto</w:t>
      </w:r>
    </w:p>
    <w:p>
      <w:pPr>
        <w:pStyle w:val="Normal"/>
        <w:numPr>
          <w:ilvl w:val="1"/>
          <w:numId w:val="1"/>
        </w:numPr>
        <w:ind w:hanging="0" w:left="567"/>
        <w:rPr>
          <w:rFonts w:ascii="Times New Roman" w:hAnsi="Times New Roman"/>
          <w:color w:val="000000"/>
        </w:rPr>
      </w:pPr>
      <w:r>
        <w:rPr>
          <w:rFonts w:ascii="Times New Roman" w:hAnsi="Times New Roman"/>
          <w:color w:val="000000"/>
        </w:rPr>
        <w:t>A Contratada designará formalmente o preposto da empresa, antes do início da prestação dos serviços, indicando no instrumento os poderes e deveres em relação à execução do objeto contratado.</w:t>
      </w:r>
    </w:p>
    <w:p>
      <w:pPr>
        <w:pStyle w:val="Normal"/>
        <w:widowControl/>
        <w:numPr>
          <w:ilvl w:val="1"/>
          <w:numId w:val="1"/>
        </w:numPr>
        <w:bidi w:val="0"/>
        <w:spacing w:lineRule="auto" w:line="276" w:before="120" w:after="120"/>
        <w:ind w:hanging="0" w:left="567"/>
        <w:jc w:val="both"/>
        <w:rPr>
          <w:rFonts w:ascii="Times New Roman" w:hAnsi="Times New Roman"/>
          <w:color w:val="000000"/>
        </w:rPr>
      </w:pPr>
      <w:r>
        <w:rPr>
          <w:rFonts w:eastAsia="Arial" w:cs="Arial" w:ascii="Times New Roman" w:hAnsi="Times New Roman"/>
          <w:color w:val="000000"/>
          <w:sz w:val="20"/>
          <w:szCs w:val="20"/>
          <w:lang w:eastAsia="pt-BR"/>
        </w:rPr>
        <w:t>A Contratada deverá manter preposto da empresa no local da execução do objeto durante o período da realização do serviço.</w:t>
      </w:r>
    </w:p>
    <w:p>
      <w:pPr>
        <w:pStyle w:val="Normal"/>
        <w:numPr>
          <w:ilvl w:val="1"/>
          <w:numId w:val="1"/>
        </w:numPr>
        <w:ind w:hanging="0" w:left="567"/>
        <w:rPr>
          <w:rFonts w:ascii="Times New Roman" w:hAnsi="Times New Roman"/>
          <w:color w:val="000000"/>
        </w:rPr>
      </w:pPr>
      <w:r>
        <w:rPr>
          <w:rFonts w:ascii="Times New Roman" w:hAnsi="Times New Roman"/>
          <w:color w:val="000000"/>
        </w:rPr>
        <w:t>A Contratante poderá recusar, desde que justificadamente, a indicação ou a manutenção do preposto da empresa, hipótese em que a Contratada designará outro para o exercício da atividade.</w:t>
      </w:r>
    </w:p>
    <w:p>
      <w:pPr>
        <w:pStyle w:val="Normal"/>
        <w:ind w:hanging="0" w:left="567"/>
        <w:rPr>
          <w:rFonts w:ascii="Times New Roman" w:hAnsi="Times New Roman"/>
          <w:color w:val="000000"/>
        </w:rPr>
      </w:pPr>
      <w:r>
        <w:rPr>
          <w:rFonts w:ascii="Times New Roman" w:hAnsi="Times New Roman"/>
          <w:color w:val="000000"/>
        </w:rPr>
        <w:t>Rotinas de Fiscalização</w:t>
      </w:r>
    </w:p>
    <w:p>
      <w:pPr>
        <w:pStyle w:val="Normal"/>
        <w:numPr>
          <w:ilvl w:val="1"/>
          <w:numId w:val="1"/>
        </w:numPr>
        <w:ind w:hanging="0" w:left="567"/>
        <w:rPr/>
      </w:pPr>
      <w:r>
        <w:rPr>
          <w:rFonts w:ascii="Times New Roman" w:hAnsi="Times New Roman"/>
          <w:color w:val="000000"/>
        </w:rPr>
        <w:t xml:space="preserve">A execução do contrato deverá ser acompanhada e fiscalizada pelo(s) fiscal(is) do contrato, ou pelos respectivos substitutos </w:t>
      </w:r>
      <w:r>
        <w:fldChar w:fldCharType="begin"/>
      </w:r>
      <w:r>
        <w:rPr>
          <w:rStyle w:val="ListLabel2116"/>
          <w:rFonts w:ascii="Times New Roman" w:hAnsi="Times New Roman"/>
          <w:color w:val="000000"/>
        </w:rPr>
        <w:instrText xml:space="preserve"> HYPERLINK "http://www.planalto.gov.br/ccivil_03/_ato2019-2022/2021/lei/L14133.htm" \l "art117"</w:instrText>
      </w:r>
      <w:r>
        <w:rPr>
          <w:rStyle w:val="ListLabel2116"/>
          <w:rFonts w:ascii="Times New Roman" w:hAnsi="Times New Roman"/>
          <w:color w:val="000000"/>
        </w:rPr>
        <w:fldChar w:fldCharType="separate"/>
      </w:r>
      <w:r>
        <w:rPr>
          <w:rStyle w:val="ListLabel2116"/>
          <w:rFonts w:ascii="Times New Roman" w:hAnsi="Times New Roman"/>
          <w:color w:val="000000"/>
        </w:rPr>
        <w:t>(Lei nº 14.133, de 2021, art. 117, caput</w:t>
      </w:r>
      <w:r>
        <w:rPr>
          <w:rStyle w:val="ListLabel2116"/>
          <w:rFonts w:ascii="Times New Roman" w:hAnsi="Times New Roman"/>
          <w:color w:val="000000"/>
        </w:rPr>
        <w:fldChar w:fldCharType="end"/>
      </w:r>
      <w:r>
        <w:rPr>
          <w:rFonts w:ascii="Times New Roman" w:hAnsi="Times New Roman"/>
          <w:color w:val="000000"/>
        </w:rPr>
        <w:t>).</w:t>
      </w:r>
    </w:p>
    <w:p>
      <w:pPr>
        <w:pStyle w:val="Normal"/>
        <w:ind w:hanging="0" w:left="567"/>
        <w:rPr>
          <w:rFonts w:ascii="Times New Roman" w:hAnsi="Times New Roman"/>
          <w:color w:val="000000"/>
        </w:rPr>
      </w:pPr>
      <w:r>
        <w:rPr>
          <w:rFonts w:ascii="Times New Roman" w:hAnsi="Times New Roman"/>
          <w:color w:val="000000"/>
        </w:rPr>
        <w:t>Fiscalização Técnica</w:t>
      </w:r>
    </w:p>
    <w:p>
      <w:pPr>
        <w:pStyle w:val="Normal"/>
        <w:numPr>
          <w:ilvl w:val="1"/>
          <w:numId w:val="1"/>
        </w:numPr>
        <w:ind w:hanging="0" w:left="567"/>
        <w:rPr/>
      </w:pPr>
      <w:r>
        <w:rPr>
          <w:rFonts w:ascii="Times New Roman" w:hAnsi="Times New Roman"/>
          <w:color w:val="000000"/>
        </w:rPr>
        <w:t>O fiscal técnico do contrato acompanhará a execução do contrato, para que sejam cumpridas todas as condições estabelecidas no contrato, de modo a assegurar os melhores resultados para a Administração. (</w:t>
      </w:r>
      <w:r>
        <w:fldChar w:fldCharType="begin"/>
      </w:r>
      <w:r>
        <w:rPr>
          <w:rStyle w:val="ListLabel2116"/>
          <w:rFonts w:ascii="Times New Roman" w:hAnsi="Times New Roman"/>
          <w:color w:val="000000"/>
        </w:rPr>
        <w:instrText xml:space="preserve"> HYPERLINK "http://www.planalto.gov.br/ccivil_03/_ato2019-2022/2022/decreto/D11246.htm" \l "art22"</w:instrText>
      </w:r>
      <w:r>
        <w:rPr>
          <w:rStyle w:val="ListLabel2116"/>
          <w:rFonts w:ascii="Times New Roman" w:hAnsi="Times New Roman"/>
          <w:color w:val="000000"/>
        </w:rPr>
        <w:fldChar w:fldCharType="separate"/>
      </w:r>
      <w:r>
        <w:rPr>
          <w:rStyle w:val="ListLabel2116"/>
          <w:rFonts w:ascii="Times New Roman" w:hAnsi="Times New Roman"/>
          <w:color w:val="000000"/>
        </w:rPr>
        <w:t>Decreto nº 11.246, de 2022, art. 22, VI</w:t>
      </w:r>
      <w:r>
        <w:rPr>
          <w:rStyle w:val="ListLabel2116"/>
          <w:rFonts w:ascii="Times New Roman" w:hAnsi="Times New Roman"/>
          <w:color w:val="000000"/>
        </w:rPr>
        <w:fldChar w:fldCharType="end"/>
      </w:r>
      <w:r>
        <w:rPr>
          <w:rFonts w:ascii="Times New Roman" w:hAnsi="Times New Roman"/>
          <w:color w:val="000000"/>
        </w:rPr>
        <w:t>);</w:t>
      </w:r>
    </w:p>
    <w:p>
      <w:pPr>
        <w:pStyle w:val="Normal"/>
        <w:numPr>
          <w:ilvl w:val="1"/>
          <w:numId w:val="1"/>
        </w:numPr>
        <w:ind w:hanging="0" w:left="567"/>
        <w:rPr/>
      </w:pPr>
      <w:r>
        <w:rPr>
          <w:rFonts w:ascii="Times New Roman" w:hAnsi="Times New Roman"/>
          <w:color w:val="000000"/>
        </w:rPr>
        <w:t>O fiscal técnico do contrato anotará no histórico de gerenciamento do contrato todas as ocorrências relacionadas à execução do contrato, com a descrição do que for necessário para a regularização das faltas ou dos defeitos observados. (</w:t>
      </w:r>
      <w:r>
        <w:fldChar w:fldCharType="begin"/>
      </w:r>
      <w:r>
        <w:rPr>
          <w:rStyle w:val="ListLabel2116"/>
          <w:rFonts w:ascii="Times New Roman" w:hAnsi="Times New Roman"/>
          <w:color w:val="000000"/>
        </w:rPr>
        <w:instrText xml:space="preserve"> HYPERLINK "http://www.planalto.gov.br/ccivil_03/_ato2019-2022/2021/lei/L14133.htm" \l "art117%C2%A71"</w:instrText>
      </w:r>
      <w:r>
        <w:rPr>
          <w:rStyle w:val="ListLabel2116"/>
          <w:rFonts w:ascii="Times New Roman" w:hAnsi="Times New Roman"/>
          <w:color w:val="000000"/>
        </w:rPr>
        <w:fldChar w:fldCharType="separate"/>
      </w:r>
      <w:r>
        <w:rPr>
          <w:rStyle w:val="ListLabel2116"/>
          <w:rFonts w:ascii="Times New Roman" w:hAnsi="Times New Roman"/>
          <w:color w:val="000000"/>
        </w:rPr>
        <w:t>Lei nº 14.133, de 2021, art. 117, §1º</w:t>
      </w:r>
      <w:r>
        <w:rPr>
          <w:rStyle w:val="ListLabel2116"/>
          <w:rFonts w:ascii="Times New Roman" w:hAnsi="Times New Roman"/>
          <w:color w:val="000000"/>
        </w:rPr>
        <w:fldChar w:fldCharType="end"/>
      </w:r>
      <w:r>
        <w:rPr>
          <w:rFonts w:ascii="Times New Roman" w:hAnsi="Times New Roman"/>
          <w:color w:val="000000"/>
        </w:rPr>
        <w:t xml:space="preserve">, e </w:t>
      </w:r>
      <w:r>
        <w:fldChar w:fldCharType="begin"/>
      </w:r>
      <w:r>
        <w:rPr>
          <w:rStyle w:val="ListLabel2116"/>
          <w:rFonts w:ascii="Times New Roman" w:hAnsi="Times New Roman"/>
          <w:color w:val="000000"/>
        </w:rPr>
        <w:instrText xml:space="preserve"> HYPERLINK "http://www.planalto.gov.br/ccivil_03/_ato2019-2022/2022/decreto/D11246.htm" \l "art22"</w:instrText>
      </w:r>
      <w:r>
        <w:rPr>
          <w:rStyle w:val="ListLabel2116"/>
          <w:rFonts w:ascii="Times New Roman" w:hAnsi="Times New Roman"/>
          <w:color w:val="000000"/>
        </w:rPr>
        <w:fldChar w:fldCharType="separate"/>
      </w:r>
      <w:r>
        <w:rPr>
          <w:rStyle w:val="ListLabel2116"/>
          <w:rFonts w:ascii="Times New Roman" w:hAnsi="Times New Roman"/>
          <w:color w:val="000000"/>
        </w:rPr>
        <w:t>Decreto nº 11.246, de 2022, art. 22, II</w:t>
      </w:r>
      <w:r>
        <w:rPr>
          <w:rStyle w:val="ListLabel2116"/>
          <w:rFonts w:ascii="Times New Roman" w:hAnsi="Times New Roman"/>
          <w:color w:val="000000"/>
        </w:rPr>
        <w:fldChar w:fldCharType="end"/>
      </w:r>
      <w:r>
        <w:rPr>
          <w:rFonts w:ascii="Times New Roman" w:hAnsi="Times New Roman"/>
          <w:color w:val="000000"/>
        </w:rPr>
        <w:t>);</w:t>
      </w:r>
    </w:p>
    <w:p>
      <w:pPr>
        <w:pStyle w:val="Normal"/>
        <w:numPr>
          <w:ilvl w:val="1"/>
          <w:numId w:val="1"/>
        </w:numPr>
        <w:ind w:hanging="0" w:left="567"/>
        <w:rPr/>
      </w:pPr>
      <w:r>
        <w:rPr>
          <w:rFonts w:ascii="Times New Roman" w:hAnsi="Times New Roman"/>
          <w:color w:val="000000"/>
        </w:rPr>
        <w:t>Identificada qualquer inexatidão ou irregularidade, o fiscal técnico do contrato emitirá notificações para a correção da execução do contrato, determinando prazo para a correção. (</w:t>
      </w:r>
      <w:r>
        <w:fldChar w:fldCharType="begin"/>
      </w:r>
      <w:r>
        <w:rPr>
          <w:rStyle w:val="ListLabel2116"/>
          <w:rFonts w:ascii="Times New Roman" w:hAnsi="Times New Roman"/>
          <w:color w:val="000000"/>
        </w:rPr>
        <w:instrText xml:space="preserve"> HYPERLINK "http://www.planalto.gov.br/ccivil_03/_ato2019-2022/2022/decreto/D11246.htm" \l "art22"</w:instrText>
      </w:r>
      <w:r>
        <w:rPr>
          <w:rStyle w:val="ListLabel2116"/>
          <w:rFonts w:ascii="Times New Roman" w:hAnsi="Times New Roman"/>
          <w:color w:val="000000"/>
        </w:rPr>
        <w:fldChar w:fldCharType="separate"/>
      </w:r>
      <w:r>
        <w:rPr>
          <w:rStyle w:val="ListLabel2116"/>
          <w:rFonts w:ascii="Times New Roman" w:hAnsi="Times New Roman"/>
          <w:color w:val="000000"/>
        </w:rPr>
        <w:t>Decreto nº 11.246, de 2022, art. 22, III</w:t>
      </w:r>
      <w:r>
        <w:rPr>
          <w:rStyle w:val="ListLabel2116"/>
          <w:rFonts w:ascii="Times New Roman" w:hAnsi="Times New Roman"/>
          <w:color w:val="000000"/>
        </w:rPr>
        <w:fldChar w:fldCharType="end"/>
      </w:r>
      <w:r>
        <w:rPr>
          <w:rFonts w:ascii="Times New Roman" w:hAnsi="Times New Roman"/>
          <w:color w:val="000000"/>
        </w:rPr>
        <w:t xml:space="preserve">); </w:t>
      </w:r>
    </w:p>
    <w:p>
      <w:pPr>
        <w:pStyle w:val="Normal"/>
        <w:numPr>
          <w:ilvl w:val="1"/>
          <w:numId w:val="1"/>
        </w:numPr>
        <w:ind w:hanging="0" w:left="567"/>
        <w:rPr/>
      </w:pPr>
      <w:r>
        <w:rPr>
          <w:rFonts w:ascii="Times New Roman" w:hAnsi="Times New Roman"/>
          <w:color w:val="000000"/>
        </w:rPr>
        <w:t>O fiscal técnico do contrato informará ao gestor do contato, em tempo hábil, a situação que demandar decisão ou adoção de medidas que ultrapassem sua competência, para que adote as medidas necessárias e saneadoras, se for o caso. (</w:t>
      </w:r>
      <w:r>
        <w:fldChar w:fldCharType="begin"/>
      </w:r>
      <w:r>
        <w:rPr>
          <w:rStyle w:val="ListLabel2116"/>
          <w:rFonts w:ascii="Times New Roman" w:hAnsi="Times New Roman"/>
          <w:color w:val="000000"/>
        </w:rPr>
        <w:instrText xml:space="preserve"> HYPERLINK "http://www.planalto.gov.br/ccivil_03/_ato2019-2022/2022/decreto/D11246.htm" \l "art22"</w:instrText>
      </w:r>
      <w:r>
        <w:rPr>
          <w:rStyle w:val="ListLabel2116"/>
          <w:rFonts w:ascii="Times New Roman" w:hAnsi="Times New Roman"/>
          <w:color w:val="000000"/>
        </w:rPr>
        <w:fldChar w:fldCharType="separate"/>
      </w:r>
      <w:r>
        <w:rPr>
          <w:rStyle w:val="ListLabel2116"/>
          <w:rFonts w:ascii="Times New Roman" w:hAnsi="Times New Roman"/>
          <w:color w:val="000000"/>
        </w:rPr>
        <w:t>Decreto nº 11.246, de 2022, art. 22, IV</w:t>
      </w:r>
      <w:r>
        <w:rPr>
          <w:rStyle w:val="ListLabel2116"/>
          <w:rFonts w:ascii="Times New Roman" w:hAnsi="Times New Roman"/>
          <w:color w:val="000000"/>
        </w:rPr>
        <w:fldChar w:fldCharType="end"/>
      </w:r>
      <w:r>
        <w:rPr>
          <w:rFonts w:ascii="Times New Roman" w:hAnsi="Times New Roman"/>
          <w:color w:val="000000"/>
        </w:rPr>
        <w:t>);</w:t>
      </w:r>
    </w:p>
    <w:p>
      <w:pPr>
        <w:pStyle w:val="Normal"/>
        <w:numPr>
          <w:ilvl w:val="1"/>
          <w:numId w:val="1"/>
        </w:numPr>
        <w:ind w:hanging="0" w:left="567"/>
        <w:rPr/>
      </w:pPr>
      <w:r>
        <w:rPr>
          <w:rFonts w:ascii="Times New Roman" w:hAnsi="Times New Roman"/>
          <w:color w:val="000000"/>
        </w:rPr>
        <w:t>No caso de ocorrências que possam inviabilizar a execução do contrato nas datas aprazadas, o fiscal técnico do contrato comunicará o fato imediatamente ao gestor do contrato. (</w:t>
      </w:r>
      <w:r>
        <w:fldChar w:fldCharType="begin"/>
      </w:r>
      <w:r>
        <w:rPr>
          <w:rStyle w:val="ListLabel2116"/>
          <w:rFonts w:ascii="Times New Roman" w:hAnsi="Times New Roman"/>
          <w:color w:val="000000"/>
        </w:rPr>
        <w:instrText xml:space="preserve"> HYPERLINK "http://www.planalto.gov.br/ccivil_03/_ato2019-2022/2022/decreto/D11246.htm" \l "art22"</w:instrText>
      </w:r>
      <w:r>
        <w:rPr>
          <w:rStyle w:val="ListLabel2116"/>
          <w:rFonts w:ascii="Times New Roman" w:hAnsi="Times New Roman"/>
          <w:color w:val="000000"/>
        </w:rPr>
        <w:fldChar w:fldCharType="separate"/>
      </w:r>
      <w:r>
        <w:rPr>
          <w:rStyle w:val="ListLabel2116"/>
          <w:rFonts w:ascii="Times New Roman" w:hAnsi="Times New Roman"/>
          <w:color w:val="000000"/>
        </w:rPr>
        <w:t>Decreto nº 11.246, de 2022, art. 22, V</w:t>
      </w:r>
      <w:r>
        <w:rPr>
          <w:rStyle w:val="ListLabel2116"/>
          <w:rFonts w:ascii="Times New Roman" w:hAnsi="Times New Roman"/>
          <w:color w:val="000000"/>
        </w:rPr>
        <w:fldChar w:fldCharType="end"/>
      </w:r>
      <w:r>
        <w:rPr>
          <w:rFonts w:eastAsia="Times New Roman" w:ascii="Times New Roman" w:hAnsi="Times New Roman"/>
          <w:color w:val="000000"/>
        </w:rPr>
        <w:t>);</w:t>
      </w:r>
    </w:p>
    <w:p>
      <w:pPr>
        <w:pStyle w:val="Normal"/>
        <w:numPr>
          <w:ilvl w:val="1"/>
          <w:numId w:val="1"/>
        </w:numPr>
        <w:ind w:hanging="0" w:left="567"/>
        <w:rPr/>
      </w:pPr>
      <w:r>
        <w:rPr>
          <w:rFonts w:ascii="Times New Roman" w:hAnsi="Times New Roman"/>
          <w:color w:val="000000"/>
        </w:rPr>
        <w:t xml:space="preserve">O fiscal técnico do contrato comunicará ao gestor do contrato, em tempo hábil, o término do contrato sob sua responsabilidade, com vistas à tempestiva </w:t>
      </w:r>
      <w:r>
        <w:rPr>
          <w:rFonts w:eastAsia="Times New Roman" w:ascii="Times New Roman" w:hAnsi="Times New Roman"/>
          <w:color w:val="000000"/>
        </w:rPr>
        <w:t xml:space="preserve">renovação </w:t>
      </w:r>
      <w:r>
        <w:rPr>
          <w:rFonts w:ascii="Times New Roman" w:hAnsi="Times New Roman"/>
          <w:color w:val="000000"/>
        </w:rPr>
        <w:t>ou à prorrogação contratual (</w:t>
      </w:r>
      <w:r>
        <w:fldChar w:fldCharType="begin"/>
      </w:r>
      <w:r>
        <w:rPr>
          <w:rStyle w:val="ListLabel2116"/>
          <w:rFonts w:ascii="Times New Roman" w:hAnsi="Times New Roman"/>
          <w:color w:val="000000"/>
        </w:rPr>
        <w:instrText xml:space="preserve"> HYPERLINK "http://www.planalto.gov.br/ccivil_03/_ato2019-2022/2022/decreto/D11246.htm" \l "art22"</w:instrText>
      </w:r>
      <w:r>
        <w:rPr>
          <w:rStyle w:val="ListLabel2116"/>
          <w:rFonts w:ascii="Times New Roman" w:hAnsi="Times New Roman"/>
          <w:color w:val="000000"/>
        </w:rPr>
        <w:fldChar w:fldCharType="separate"/>
      </w:r>
      <w:r>
        <w:rPr>
          <w:rStyle w:val="ListLabel2116"/>
          <w:rFonts w:ascii="Times New Roman" w:hAnsi="Times New Roman"/>
          <w:color w:val="000000"/>
        </w:rPr>
        <w:t>Decreto nº 11.246, de 2022, art. 22, VII</w:t>
      </w:r>
      <w:r>
        <w:rPr>
          <w:rStyle w:val="ListLabel2116"/>
          <w:rFonts w:ascii="Times New Roman" w:hAnsi="Times New Roman"/>
          <w:color w:val="000000"/>
        </w:rPr>
        <w:fldChar w:fldCharType="end"/>
      </w:r>
      <w:r>
        <w:rPr>
          <w:rFonts w:ascii="Times New Roman" w:hAnsi="Times New Roman"/>
          <w:color w:val="000000"/>
        </w:rPr>
        <w:t>).</w:t>
      </w:r>
    </w:p>
    <w:p>
      <w:pPr>
        <w:pStyle w:val="Normal"/>
        <w:numPr>
          <w:ilvl w:val="1"/>
          <w:numId w:val="1"/>
        </w:numPr>
        <w:ind w:hanging="0" w:left="567"/>
        <w:rPr>
          <w:rFonts w:ascii="Times New Roman" w:hAnsi="Times New Roman"/>
          <w:color w:val="000000"/>
        </w:rPr>
      </w:pPr>
      <w:r>
        <w:rPr>
          <w:rFonts w:ascii="Times New Roman" w:hAnsi="Times New Roman"/>
          <w:color w:val="000000"/>
        </w:rPr>
        <w:t>A fiscalização técnica dos contratos deve avaliar constantemente através do Instrumento de Medição de Resultado (IMR), conforme previsto no a</w:t>
      </w:r>
      <w:r>
        <w:rPr>
          <w:rFonts w:ascii="Times New Roman" w:hAnsi="Times New Roman"/>
          <w:i/>
          <w:iCs/>
          <w:color w:val="000000"/>
        </w:rPr>
        <w:t xml:space="preserve">nexo, </w:t>
      </w:r>
      <w:r>
        <w:rPr>
          <w:rFonts w:ascii="Times New Roman" w:hAnsi="Times New Roman"/>
          <w:color w:val="000000"/>
        </w:rPr>
        <w:t>para aferição da qualidade da prestação dos serviços, devendo haver o redimensionamento no pagamento com base nos indicadores estabelecidos.</w:t>
      </w:r>
    </w:p>
    <w:p>
      <w:pPr>
        <w:pStyle w:val="Normal"/>
        <w:numPr>
          <w:ilvl w:val="1"/>
          <w:numId w:val="1"/>
        </w:numPr>
        <w:ind w:hanging="0" w:left="567"/>
        <w:rPr>
          <w:rFonts w:ascii="Times New Roman" w:hAnsi="Times New Roman"/>
          <w:color w:val="000000"/>
        </w:rPr>
      </w:pPr>
      <w:r>
        <w:rPr>
          <w:rFonts w:ascii="Times New Roman" w:hAnsi="Times New Roman"/>
          <w:color w:val="000000"/>
        </w:rPr>
        <w:t>Durante a execução do objeto, fase do recebimento provisório, o fiscal técnico designado deverá monitorar constantemente o nível de qualidade dos serviços para evitar a sua degeneração, devendo intervir para requerer à contratada a correção das faltas, falhas e irregularidades constatadas.</w:t>
      </w:r>
    </w:p>
    <w:p>
      <w:pPr>
        <w:pStyle w:val="Normal"/>
        <w:numPr>
          <w:ilvl w:val="1"/>
          <w:numId w:val="1"/>
        </w:numPr>
        <w:ind w:hanging="0" w:left="567"/>
        <w:rPr>
          <w:rFonts w:ascii="Times New Roman" w:hAnsi="Times New Roman"/>
          <w:color w:val="000000"/>
        </w:rPr>
      </w:pPr>
      <w:r>
        <w:rPr>
          <w:rFonts w:ascii="Times New Roman" w:hAnsi="Times New Roman"/>
          <w:color w:val="000000"/>
        </w:rPr>
        <w:t>O fiscal técnico do contrato deverá apresentar ao preposto da contratada a avaliação da execução do objeto ou, se for o caso, a avaliação de desempenho e qualidade da prestação dos serviços realizada.</w:t>
      </w:r>
    </w:p>
    <w:p>
      <w:pPr>
        <w:pStyle w:val="Normal"/>
        <w:numPr>
          <w:ilvl w:val="1"/>
          <w:numId w:val="1"/>
        </w:numPr>
        <w:ind w:hanging="0" w:left="567"/>
        <w:rPr>
          <w:rFonts w:ascii="Times New Roman" w:hAnsi="Times New Roman"/>
          <w:color w:val="000000"/>
        </w:rPr>
      </w:pPr>
      <w:r>
        <w:rPr>
          <w:rFonts w:ascii="Times New Roman" w:hAnsi="Times New Roman"/>
          <w:color w:val="000000"/>
        </w:rPr>
        <w:t>O preposto deverá apor assinatura no documento, tomando ciência da avaliação realizada.</w:t>
      </w:r>
    </w:p>
    <w:p>
      <w:pPr>
        <w:pStyle w:val="Normal"/>
        <w:numPr>
          <w:ilvl w:val="1"/>
          <w:numId w:val="1"/>
        </w:numPr>
        <w:ind w:hanging="0" w:left="567"/>
        <w:rPr>
          <w:rFonts w:ascii="Times New Roman" w:hAnsi="Times New Roman"/>
          <w:color w:val="000000"/>
        </w:rPr>
      </w:pPr>
      <w:r>
        <w:rPr>
          <w:rFonts w:ascii="Times New Roman" w:hAnsi="Times New Roman"/>
          <w:color w:val="000000"/>
        </w:rPr>
        <w:t>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w:t>
      </w:r>
    </w:p>
    <w:p>
      <w:pPr>
        <w:pStyle w:val="Normal"/>
        <w:numPr>
          <w:ilvl w:val="1"/>
          <w:numId w:val="1"/>
        </w:numPr>
        <w:ind w:hanging="0" w:left="567"/>
        <w:rPr>
          <w:rFonts w:ascii="Times New Roman" w:hAnsi="Times New Roman"/>
          <w:color w:val="000000"/>
        </w:rPr>
      </w:pPr>
      <w:r>
        <w:rPr>
          <w:rFonts w:ascii="Times New Roman" w:hAnsi="Times New Roman"/>
          <w:color w:val="000000"/>
        </w:rPr>
        <w:t>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w:t>
      </w:r>
    </w:p>
    <w:p>
      <w:pPr>
        <w:pStyle w:val="Normal"/>
        <w:numPr>
          <w:ilvl w:val="1"/>
          <w:numId w:val="1"/>
        </w:numPr>
        <w:ind w:hanging="0" w:left="567"/>
        <w:rPr>
          <w:rFonts w:ascii="Times New Roman" w:hAnsi="Times New Roman"/>
          <w:color w:val="000000"/>
        </w:rPr>
      </w:pPr>
      <w:r>
        <w:rPr>
          <w:rFonts w:ascii="Times New Roman" w:hAnsi="Times New Roman"/>
          <w:color w:val="000000"/>
        </w:rPr>
        <w:t>É vedada a atribuição à contratada da avaliação de desempenho e qualidade da prestação dos serviços por ela realizada.</w:t>
      </w:r>
    </w:p>
    <w:p>
      <w:pPr>
        <w:pStyle w:val="Normal"/>
        <w:numPr>
          <w:ilvl w:val="1"/>
          <w:numId w:val="1"/>
        </w:numPr>
        <w:ind w:hanging="0" w:left="567"/>
        <w:rPr>
          <w:rFonts w:ascii="Times New Roman" w:hAnsi="Times New Roman"/>
          <w:color w:val="000000"/>
        </w:rPr>
      </w:pPr>
      <w:r>
        <w:rPr>
          <w:rFonts w:ascii="Times New Roman" w:hAnsi="Times New Roman"/>
          <w:color w:val="000000"/>
        </w:rPr>
        <w:t>O fiscal técnico poderá realizar a avaliação diária, semanal ou mensal, desde que o período escolhido seja suficiente para avaliar ou, se for o caso, aferir o desempenho e qualidade da prestação dos serviços.</w:t>
      </w:r>
    </w:p>
    <w:p>
      <w:pPr>
        <w:pStyle w:val="Normal"/>
        <w:numPr>
          <w:ilvl w:val="1"/>
          <w:numId w:val="1"/>
        </w:numPr>
        <w:ind w:hanging="0" w:left="567"/>
        <w:rPr>
          <w:rFonts w:ascii="Times New Roman" w:hAnsi="Times New Roman"/>
          <w:color w:val="000000"/>
        </w:rPr>
      </w:pPr>
      <w:r>
        <w:rPr>
          <w:rFonts w:ascii="Times New Roman" w:hAnsi="Times New Roman"/>
          <w:color w:val="000000"/>
        </w:rPr>
        <w:t>A fiscalização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na Lei n. 14.133/2021. (IN05/17 - art. 62)</w:t>
      </w:r>
    </w:p>
    <w:p>
      <w:pPr>
        <w:pStyle w:val="Normal"/>
        <w:numPr>
          <w:ilvl w:val="1"/>
          <w:numId w:val="1"/>
        </w:numPr>
        <w:ind w:hanging="0" w:left="567"/>
        <w:rPr>
          <w:rFonts w:ascii="Times New Roman" w:hAnsi="Times New Roman"/>
          <w:color w:val="000000"/>
        </w:rPr>
      </w:pPr>
      <w:r>
        <w:rPr>
          <w:rFonts w:ascii="Times New Roman" w:hAnsi="Times New Roman"/>
          <w:color w:val="000000"/>
        </w:rPr>
        <w:t>A conformidade do material/técnica/equipamento a ser utilizado na execução dos serviços deverá ser verificada juntamente com o documento da Contratada que contenha a relação detalhada destes, de acordo com o estabelecido neste Termo de Referência e na proposta, informando as respectivas quantidades e especificações técnicas, tais como: marca, qualidade e forma de uso. (art. 47, §2º, IN05/2017)</w:t>
      </w:r>
    </w:p>
    <w:p>
      <w:pPr>
        <w:pStyle w:val="Normal"/>
        <w:numPr>
          <w:ilvl w:val="1"/>
          <w:numId w:val="1"/>
        </w:numPr>
        <w:ind w:hanging="0" w:left="567"/>
        <w:rPr>
          <w:rFonts w:ascii="Times New Roman" w:hAnsi="Times New Roman"/>
          <w:color w:val="000000"/>
        </w:rPr>
      </w:pPr>
      <w:r>
        <w:rPr>
          <w:rFonts w:ascii="Times New Roman" w:hAnsi="Times New Roman"/>
          <w:color w:val="000000"/>
        </w:rPr>
        <w:t>A fiscalização da execução dos serviços abrange, ainda, as seguintes rotinas:</w:t>
      </w:r>
    </w:p>
    <w:p>
      <w:pPr>
        <w:pStyle w:val="Normal"/>
        <w:numPr>
          <w:ilvl w:val="2"/>
          <w:numId w:val="1"/>
        </w:numPr>
        <w:ind w:hanging="0" w:left="567"/>
        <w:rPr>
          <w:rFonts w:ascii="Times New Roman" w:hAnsi="Times New Roman"/>
          <w:color w:val="000000"/>
        </w:rPr>
      </w:pPr>
      <w:r>
        <w:rPr>
          <w:rFonts w:ascii="Times New Roman" w:hAnsi="Times New Roman"/>
          <w:color w:val="000000"/>
        </w:rPr>
        <w:t>[...];</w:t>
      </w:r>
    </w:p>
    <w:p>
      <w:pPr>
        <w:pStyle w:val="Normal"/>
        <w:numPr>
          <w:ilvl w:val="2"/>
          <w:numId w:val="1"/>
        </w:numPr>
        <w:ind w:hanging="0" w:left="567"/>
        <w:rPr>
          <w:rFonts w:ascii="Times New Roman" w:hAnsi="Times New Roman"/>
          <w:color w:val="000000"/>
        </w:rPr>
      </w:pPr>
      <w:r>
        <w:rPr>
          <w:rFonts w:ascii="Times New Roman" w:hAnsi="Times New Roman"/>
          <w:color w:val="000000"/>
        </w:rPr>
        <w:t>[...].</w:t>
      </w:r>
    </w:p>
    <w:p>
      <w:pPr>
        <w:pStyle w:val="Normal"/>
        <w:numPr>
          <w:ilvl w:val="1"/>
          <w:numId w:val="1"/>
        </w:numPr>
        <w:ind w:hanging="0" w:left="567"/>
        <w:rPr>
          <w:rFonts w:ascii="Times New Roman" w:hAnsi="Times New Roman"/>
          <w:color w:val="000000"/>
        </w:rPr>
      </w:pPr>
      <w:r>
        <w:rPr>
          <w:rFonts w:ascii="Times New Roman" w:hAnsi="Times New Roman"/>
          <w:color w:val="000000"/>
        </w:rPr>
        <w:t xml:space="preserve">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pPr>
        <w:pStyle w:val="Normal"/>
        <w:numPr>
          <w:ilvl w:val="1"/>
          <w:numId w:val="1"/>
        </w:numPr>
        <w:ind w:hanging="0" w:left="567"/>
        <w:rPr>
          <w:rFonts w:ascii="Times New Roman" w:hAnsi="Times New Roman"/>
          <w:color w:val="000000"/>
        </w:rPr>
      </w:pPr>
      <w:r>
        <w:rPr>
          <w:rFonts w:ascii="Times New Roman" w:hAnsi="Times New Roman"/>
          <w:color w:val="000000"/>
        </w:rPr>
        <w:t>As disposições previstas neste Termo de Referência não excluem o disposto no Anexo VIII da Instrução Normativa SEGES/MP nº 05, de 2017, aplicável no que for pertinente à contratação, por força da Instrução Normativa Seges/ME nº 98, de 26 de dezembro de 2022.</w:t>
      </w:r>
    </w:p>
    <w:p>
      <w:pPr>
        <w:pStyle w:val="Normal"/>
        <w:numPr>
          <w:ilvl w:val="1"/>
          <w:numId w:val="1"/>
        </w:numPr>
        <w:ind w:hanging="0" w:left="567"/>
        <w:rPr>
          <w:rFonts w:ascii="Times New Roman" w:hAnsi="Times New Roman"/>
          <w:color w:val="000000"/>
        </w:rPr>
      </w:pPr>
      <w:r>
        <w:rPr>
          <w:rFonts w:ascii="Times New Roman" w:hAnsi="Times New Roman"/>
          <w:color w:val="000000"/>
          <w:shd w:fill="auto" w:val="clear"/>
        </w:rPr>
        <w:t>Para efeito de recebimento provisório, ao final de cada período mensal, 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p>
    <w:p>
      <w:pPr>
        <w:pStyle w:val="Normal"/>
        <w:ind w:hanging="0" w:left="567"/>
        <w:rPr>
          <w:rFonts w:ascii="Times New Roman" w:hAnsi="Times New Roman"/>
          <w:color w:val="000000"/>
        </w:rPr>
      </w:pPr>
      <w:r>
        <w:rPr>
          <w:rFonts w:ascii="Times New Roman" w:hAnsi="Times New Roman"/>
          <w:color w:val="000000"/>
          <w:shd w:fill="auto" w:val="clear"/>
        </w:rPr>
        <w:t>Fiscalização Administrativa</w:t>
      </w:r>
    </w:p>
    <w:p>
      <w:pPr>
        <w:pStyle w:val="Normal"/>
        <w:numPr>
          <w:ilvl w:val="1"/>
          <w:numId w:val="1"/>
        </w:numPr>
        <w:ind w:hanging="0" w:left="567"/>
        <w:rPr>
          <w:rFonts w:ascii="Times New Roman" w:hAnsi="Times New Roman"/>
          <w:color w:val="000000"/>
        </w:rPr>
      </w:pPr>
      <w:r>
        <w:rPr>
          <w:rFonts w:ascii="Times New Roman" w:hAnsi="Times New Roman"/>
          <w:color w:val="000000"/>
          <w:shd w:fill="auto" w:val="clear"/>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pPr>
        <w:pStyle w:val="Normal"/>
        <w:numPr>
          <w:ilvl w:val="1"/>
          <w:numId w:val="1"/>
        </w:numPr>
        <w:ind w:hanging="0" w:left="567"/>
        <w:rPr>
          <w:rFonts w:ascii="Times New Roman" w:hAnsi="Times New Roman"/>
          <w:color w:val="000000"/>
        </w:rPr>
      </w:pPr>
      <w:r>
        <w:rPr>
          <w:rFonts w:ascii="Times New Roman" w:hAnsi="Times New Roman"/>
          <w:color w:val="000000"/>
          <w:shd w:fill="auto" w:val="clear"/>
        </w:rPr>
        <w:t>Caso ocorra descumprimento das obrigações contratuais, o fiscal administrativo do contrato atuará tempestivamente na solução do problema, reportando ao gestor do contrato para que tome as providências cabíveis, quando ultrapassar a sua competência.</w:t>
      </w:r>
    </w:p>
    <w:p>
      <w:pPr>
        <w:pStyle w:val="Normal"/>
        <w:numPr>
          <w:ilvl w:val="1"/>
          <w:numId w:val="1"/>
        </w:numPr>
        <w:ind w:hanging="432" w:left="567"/>
        <w:rPr>
          <w:rFonts w:ascii="Times New Roman" w:hAnsi="Times New Roman"/>
          <w:color w:val="000000"/>
        </w:rPr>
      </w:pPr>
      <w:r>
        <w:rPr>
          <w:rFonts w:ascii="Times New Roman" w:hAnsi="Times New Roman"/>
          <w:color w:val="000000"/>
          <w:shd w:fill="auto" w:val="clear"/>
        </w:rPr>
        <w:t>A fiscalização administrativa poderá ser efetivada com base em critérios estatísticos, levando-se em consideração falhas que impactem o contrato como um todo e não apenas erros e falhas eventuais no pagamento de alguma vantagem a um determinado empregado.</w:t>
      </w:r>
    </w:p>
    <w:p>
      <w:pPr>
        <w:pStyle w:val="Normal"/>
        <w:numPr>
          <w:ilvl w:val="1"/>
          <w:numId w:val="1"/>
        </w:numPr>
        <w:ind w:hanging="432" w:left="567"/>
        <w:rPr>
          <w:rFonts w:ascii="Times New Roman" w:hAnsi="Times New Roman"/>
          <w:color w:val="000000"/>
        </w:rPr>
      </w:pPr>
      <w:r>
        <w:rPr>
          <w:rFonts w:ascii="Times New Roman" w:hAnsi="Times New Roman"/>
          <w:color w:val="000000"/>
          <w:shd w:fill="auto" w:val="clear"/>
        </w:rPr>
        <w:t>Na fiscalização do cumprimento das obrigações trabalhistas e sociais exigir-se-á, dentre outras, as seguintes comprovações:</w:t>
      </w:r>
    </w:p>
    <w:p>
      <w:pPr>
        <w:pStyle w:val="Normal"/>
        <w:numPr>
          <w:ilvl w:val="2"/>
          <w:numId w:val="124"/>
        </w:numPr>
        <w:ind w:hanging="0" w:left="567"/>
        <w:rPr>
          <w:rFonts w:ascii="Times New Roman" w:hAnsi="Times New Roman"/>
          <w:color w:val="000000"/>
        </w:rPr>
      </w:pPr>
      <w:r>
        <w:rPr>
          <w:rFonts w:ascii="Times New Roman" w:hAnsi="Times New Roman"/>
          <w:color w:val="000000"/>
          <w:shd w:fill="auto" w:val="clear"/>
        </w:rPr>
        <w:t>No caso de empresas regidas pela Consolidação das Leis do Trabalho (CLT):</w:t>
      </w:r>
    </w:p>
    <w:p>
      <w:pPr>
        <w:pStyle w:val="Normal"/>
        <w:numPr>
          <w:ilvl w:val="3"/>
          <w:numId w:val="125"/>
        </w:numPr>
        <w:ind w:hanging="0" w:left="567"/>
        <w:rPr>
          <w:rFonts w:ascii="Times New Roman" w:hAnsi="Times New Roman"/>
          <w:color w:val="000000"/>
        </w:rPr>
      </w:pPr>
      <w:bookmarkStart w:id="2" w:name="_Ref126527030"/>
      <w:bookmarkStart w:id="3" w:name="_Ref170748749"/>
      <w:r>
        <w:rPr>
          <w:rFonts w:ascii="Times New Roman" w:hAnsi="Times New Roman"/>
          <w:color w:val="000000"/>
          <w:shd w:fill="auto" w:val="clear"/>
        </w:rPr>
        <w:t>no primeiro mês da prestação dos serviços, a contratada deverá apresentar a seguinte documentação:</w:t>
      </w:r>
      <w:bookmarkEnd w:id="2"/>
      <w:bookmarkEnd w:id="3"/>
    </w:p>
    <w:p>
      <w:pPr>
        <w:pStyle w:val="Normal"/>
        <w:numPr>
          <w:ilvl w:val="4"/>
          <w:numId w:val="126"/>
        </w:numPr>
        <w:ind w:hanging="0" w:left="567"/>
        <w:rPr>
          <w:rFonts w:ascii="Times New Roman" w:hAnsi="Times New Roman"/>
          <w:color w:val="000000"/>
        </w:rPr>
      </w:pPr>
      <w:r>
        <w:rPr>
          <w:rFonts w:ascii="Times New Roman" w:hAnsi="Times New Roman"/>
          <w:color w:val="000000"/>
          <w:shd w:fill="auto" w:val="clear"/>
        </w:rPr>
        <w:t>relação dos empregados, contendo nome completo, cargo ou função, horário do posto de trabalho, números da carteira de identidade (RG) e da inscrição no Cadastro de Pessoas Físicas (CPF), com indicação dos responsáveis técnicos pela execução dos serviços, quando for o caso;</w:t>
      </w:r>
    </w:p>
    <w:p>
      <w:pPr>
        <w:pStyle w:val="Normal"/>
        <w:numPr>
          <w:ilvl w:val="4"/>
          <w:numId w:val="127"/>
        </w:numPr>
        <w:ind w:hanging="0" w:left="567"/>
        <w:rPr>
          <w:rFonts w:ascii="Times New Roman" w:hAnsi="Times New Roman"/>
          <w:color w:val="000000"/>
        </w:rPr>
      </w:pPr>
      <w:r>
        <w:rPr>
          <w:rFonts w:ascii="Times New Roman" w:hAnsi="Times New Roman"/>
          <w:color w:val="000000"/>
          <w:shd w:fill="auto" w:val="clear"/>
        </w:rPr>
        <w:t>Carteira de Trabalho e Previdência Social (CTPS) dos empregados admitidos e dos responsáveis técnicos pela execução dos serviços, quando for o caso, devidamente assinada pela contratada;</w:t>
      </w:r>
    </w:p>
    <w:p>
      <w:pPr>
        <w:pStyle w:val="Normal"/>
        <w:numPr>
          <w:ilvl w:val="4"/>
          <w:numId w:val="128"/>
        </w:numPr>
        <w:ind w:hanging="0" w:left="567"/>
        <w:rPr>
          <w:rFonts w:ascii="Times New Roman" w:hAnsi="Times New Roman"/>
          <w:color w:val="000000"/>
        </w:rPr>
      </w:pPr>
      <w:r>
        <w:rPr>
          <w:rFonts w:ascii="Times New Roman" w:hAnsi="Times New Roman"/>
          <w:color w:val="000000"/>
          <w:shd w:fill="auto" w:val="clear"/>
        </w:rPr>
        <w:t>exames médicos admissionais dos empregados da contratada que prestarão os serviços; e</w:t>
      </w:r>
    </w:p>
    <w:p>
      <w:pPr>
        <w:pStyle w:val="Normal"/>
        <w:numPr>
          <w:ilvl w:val="3"/>
          <w:numId w:val="129"/>
        </w:numPr>
        <w:ind w:hanging="0" w:left="567"/>
        <w:rPr>
          <w:rFonts w:ascii="Times New Roman" w:hAnsi="Times New Roman"/>
          <w:color w:val="000000"/>
        </w:rPr>
      </w:pPr>
      <w:r>
        <w:rPr>
          <w:rFonts w:ascii="Times New Roman" w:hAnsi="Times New Roman"/>
          <w:color w:val="000000"/>
          <w:shd w:fill="auto" w:val="clear"/>
        </w:rPr>
        <w:t xml:space="preserve"> </w:t>
      </w:r>
      <w:r>
        <w:rPr>
          <w:rFonts w:ascii="Times New Roman" w:hAnsi="Times New Roman"/>
          <w:color w:val="000000"/>
          <w:shd w:fill="auto" w:val="clear"/>
        </w:rPr>
        <w:t>entrega até o dia trinta do mês seguinte ao da prestação dos serviços ao setor responsável pela fiscalização do contrato dos seguintes documentos, quando não for possível a verificação da regularidade destes no Sistema de Cadastro de Fornecedores (Sicaf):</w:t>
      </w:r>
    </w:p>
    <w:p>
      <w:pPr>
        <w:pStyle w:val="Normal"/>
        <w:numPr>
          <w:ilvl w:val="4"/>
          <w:numId w:val="130"/>
        </w:numPr>
        <w:ind w:hanging="0" w:left="567"/>
        <w:rPr>
          <w:rFonts w:ascii="Times New Roman" w:hAnsi="Times New Roman"/>
          <w:color w:val="000000"/>
        </w:rPr>
      </w:pPr>
      <w:r>
        <w:rPr>
          <w:rFonts w:ascii="Times New Roman" w:hAnsi="Times New Roman"/>
          <w:color w:val="000000"/>
          <w:shd w:fill="auto" w:val="clear"/>
        </w:rPr>
        <w:t>Certidão Negativa de Débitos relativos a Créditos Tributários Federais e à Dívida Ativa da União (CND);</w:t>
      </w:r>
    </w:p>
    <w:p>
      <w:pPr>
        <w:pStyle w:val="Normal"/>
        <w:numPr>
          <w:ilvl w:val="4"/>
          <w:numId w:val="131"/>
        </w:numPr>
        <w:ind w:hanging="0" w:left="567"/>
        <w:rPr>
          <w:rFonts w:ascii="Times New Roman" w:hAnsi="Times New Roman"/>
          <w:color w:val="000000"/>
        </w:rPr>
      </w:pPr>
      <w:r>
        <w:rPr>
          <w:rFonts w:ascii="Times New Roman" w:hAnsi="Times New Roman"/>
          <w:color w:val="000000"/>
          <w:shd w:fill="auto" w:val="clear"/>
        </w:rPr>
        <w:t>certidões que comprovem a regularidade perante as Fazendas Estadual, Distrital e Municipal do domicílio ou sede do Contratado;</w:t>
      </w:r>
    </w:p>
    <w:p>
      <w:pPr>
        <w:pStyle w:val="Normal"/>
        <w:numPr>
          <w:ilvl w:val="4"/>
          <w:numId w:val="132"/>
        </w:numPr>
        <w:ind w:hanging="0" w:left="567"/>
        <w:rPr>
          <w:rFonts w:ascii="Times New Roman" w:hAnsi="Times New Roman"/>
          <w:color w:val="000000"/>
        </w:rPr>
      </w:pPr>
      <w:r>
        <w:rPr>
          <w:rFonts w:ascii="Times New Roman" w:hAnsi="Times New Roman"/>
          <w:color w:val="000000"/>
          <w:shd w:fill="auto" w:val="clear"/>
        </w:rPr>
        <w:t>Certidão de Regularidade do FGTS (CRF); e</w:t>
      </w:r>
    </w:p>
    <w:p>
      <w:pPr>
        <w:pStyle w:val="Normal"/>
        <w:numPr>
          <w:ilvl w:val="4"/>
          <w:numId w:val="133"/>
        </w:numPr>
        <w:ind w:hanging="0" w:left="567"/>
        <w:rPr>
          <w:rFonts w:ascii="Times New Roman" w:hAnsi="Times New Roman"/>
          <w:color w:val="000000"/>
        </w:rPr>
      </w:pPr>
      <w:r>
        <w:rPr>
          <w:rFonts w:ascii="Times New Roman" w:hAnsi="Times New Roman"/>
          <w:color w:val="000000"/>
          <w:shd w:fill="auto" w:val="clear"/>
        </w:rPr>
        <w:t>Certidão Negativa de Débitos Trabalhistas (CNDT).</w:t>
      </w:r>
    </w:p>
    <w:p>
      <w:pPr>
        <w:pStyle w:val="Normal"/>
        <w:numPr>
          <w:ilvl w:val="3"/>
          <w:numId w:val="134"/>
        </w:numPr>
        <w:ind w:hanging="0" w:left="567"/>
        <w:rPr>
          <w:rFonts w:ascii="Times New Roman" w:hAnsi="Times New Roman"/>
          <w:color w:val="000000"/>
        </w:rPr>
      </w:pPr>
      <w:r>
        <w:rPr>
          <w:rFonts w:ascii="Times New Roman" w:hAnsi="Times New Roman"/>
          <w:color w:val="000000"/>
          <w:shd w:fill="auto" w:val="clear"/>
        </w:rPr>
        <w:t xml:space="preserve"> </w:t>
      </w:r>
      <w:r>
        <w:rPr>
          <w:rFonts w:ascii="Times New Roman" w:hAnsi="Times New Roman"/>
          <w:color w:val="000000"/>
          <w:shd w:fill="auto" w:val="clear"/>
        </w:rPr>
        <w:t>entrega, quando solicitado pelo Contratante, de quaisquer dos seguintes documentos:</w:t>
      </w:r>
    </w:p>
    <w:p>
      <w:pPr>
        <w:pStyle w:val="Normal"/>
        <w:numPr>
          <w:ilvl w:val="4"/>
          <w:numId w:val="135"/>
        </w:numPr>
        <w:ind w:hanging="0" w:left="567"/>
        <w:rPr>
          <w:rFonts w:ascii="Times New Roman" w:hAnsi="Times New Roman"/>
          <w:color w:val="000000"/>
        </w:rPr>
      </w:pPr>
      <w:r>
        <w:rPr>
          <w:rFonts w:ascii="Times New Roman" w:hAnsi="Times New Roman"/>
          <w:color w:val="000000"/>
          <w:shd w:fill="auto" w:val="clear"/>
        </w:rPr>
        <w:t>extrato da conta do INSS e do FGTS de qualquer empregado, a critério da Administração Contratante;</w:t>
      </w:r>
    </w:p>
    <w:p>
      <w:pPr>
        <w:pStyle w:val="Normal"/>
        <w:numPr>
          <w:ilvl w:val="4"/>
          <w:numId w:val="136"/>
        </w:numPr>
        <w:ind w:hanging="0" w:left="567"/>
        <w:rPr>
          <w:rFonts w:ascii="Times New Roman" w:hAnsi="Times New Roman"/>
          <w:color w:val="000000"/>
        </w:rPr>
      </w:pPr>
      <w:r>
        <w:rPr>
          <w:rFonts w:ascii="Times New Roman" w:hAnsi="Times New Roman"/>
          <w:color w:val="000000"/>
          <w:shd w:fill="auto" w:val="clear"/>
        </w:rPr>
        <w:t>cópia da folha de pagamento analítica de qualquer mês da prestação dos serviços, em que conste como tomador a parte contratante;</w:t>
      </w:r>
    </w:p>
    <w:p>
      <w:pPr>
        <w:pStyle w:val="Normal"/>
        <w:numPr>
          <w:ilvl w:val="4"/>
          <w:numId w:val="137"/>
        </w:numPr>
        <w:ind w:hanging="0" w:left="567"/>
        <w:rPr>
          <w:rFonts w:ascii="Times New Roman" w:hAnsi="Times New Roman"/>
          <w:color w:val="000000"/>
        </w:rPr>
      </w:pPr>
      <w:r>
        <w:rPr>
          <w:rFonts w:ascii="Times New Roman" w:hAnsi="Times New Roman"/>
          <w:color w:val="000000"/>
          <w:shd w:fill="auto" w:val="clear"/>
        </w:rPr>
        <w:t>cópia dos contracheques dos empregados relativos a qualquer mês da prestação dos serviços ou, ainda, quando necessário, cópia de recibos de depósitos bancários;</w:t>
      </w:r>
    </w:p>
    <w:p>
      <w:pPr>
        <w:pStyle w:val="Normal"/>
        <w:numPr>
          <w:ilvl w:val="4"/>
          <w:numId w:val="138"/>
        </w:numPr>
        <w:ind w:hanging="0" w:left="567"/>
        <w:rPr>
          <w:rFonts w:ascii="Times New Roman" w:hAnsi="Times New Roman"/>
          <w:color w:val="000000"/>
        </w:rPr>
      </w:pPr>
      <w:r>
        <w:rPr>
          <w:rFonts w:ascii="Times New Roman" w:hAnsi="Times New Roman"/>
          <w:color w:val="000000"/>
          <w:shd w:fill="auto" w:val="clear"/>
        </w:rPr>
        <w:t>d. comprovantes de entrega de benefícios suplementares (vale-transporte, vale-alimentação, entre outros), a que estiver obrigada por força de lei ou de Convenção ou Acordo Coletivo de Trabalho, relativos a qualquer mês da prestação dos serviços e de qualquer empregado; e</w:t>
      </w:r>
    </w:p>
    <w:p>
      <w:pPr>
        <w:pStyle w:val="Normal"/>
        <w:numPr>
          <w:ilvl w:val="4"/>
          <w:numId w:val="139"/>
        </w:numPr>
        <w:ind w:hanging="0" w:left="567"/>
        <w:rPr>
          <w:rFonts w:ascii="Times New Roman" w:hAnsi="Times New Roman"/>
          <w:color w:val="000000"/>
        </w:rPr>
      </w:pPr>
      <w:r>
        <w:rPr>
          <w:rFonts w:ascii="Times New Roman" w:hAnsi="Times New Roman"/>
          <w:color w:val="000000"/>
          <w:shd w:fill="auto" w:val="clear"/>
        </w:rPr>
        <w:t>e. comprovantes de realização de eventuais cursos de treinamento e reciclagem que forem exigidos por lei ou pelo contrato.</w:t>
      </w:r>
    </w:p>
    <w:p>
      <w:pPr>
        <w:pStyle w:val="Normal"/>
        <w:numPr>
          <w:ilvl w:val="3"/>
          <w:numId w:val="140"/>
        </w:numPr>
        <w:ind w:hanging="0" w:left="567"/>
        <w:rPr>
          <w:rFonts w:ascii="Times New Roman" w:hAnsi="Times New Roman"/>
          <w:color w:val="000000"/>
        </w:rPr>
      </w:pPr>
      <w:bookmarkStart w:id="4" w:name="_Ref126527146"/>
      <w:r>
        <w:rPr>
          <w:rFonts w:ascii="Times New Roman" w:hAnsi="Times New Roman"/>
          <w:color w:val="000000"/>
          <w:shd w:fill="auto" w:val="clear"/>
        </w:rPr>
        <w:t xml:space="preserve"> </w:t>
      </w:r>
      <w:bookmarkStart w:id="5" w:name="_Ref170748801"/>
      <w:r>
        <w:rPr>
          <w:rFonts w:ascii="Times New Roman" w:hAnsi="Times New Roman"/>
          <w:color w:val="000000"/>
          <w:shd w:fill="auto" w:val="clear"/>
        </w:rPr>
        <w:t>entrega de cópia da documentação abaixo relacionada, quando da extinção ou rescisão do contrato, após o último mês de prestação dos serviços, no prazo definido no contrato:</w:t>
      </w:r>
      <w:bookmarkEnd w:id="4"/>
      <w:bookmarkEnd w:id="5"/>
    </w:p>
    <w:p>
      <w:pPr>
        <w:pStyle w:val="Normal"/>
        <w:numPr>
          <w:ilvl w:val="4"/>
          <w:numId w:val="141"/>
        </w:numPr>
        <w:ind w:hanging="0" w:left="567"/>
        <w:rPr>
          <w:rFonts w:ascii="Times New Roman" w:hAnsi="Times New Roman"/>
          <w:color w:val="000000"/>
        </w:rPr>
      </w:pPr>
      <w:r>
        <w:rPr>
          <w:rFonts w:ascii="Times New Roman" w:hAnsi="Times New Roman"/>
          <w:color w:val="000000"/>
          <w:shd w:fill="auto" w:val="clear"/>
        </w:rPr>
        <w:t>termos de rescisão dos contratos de trabalho dos empregados prestadores de serviço, devidamente homologados, quando exigível pelo sindicato da categoria;</w:t>
      </w:r>
    </w:p>
    <w:p>
      <w:pPr>
        <w:pStyle w:val="Normal"/>
        <w:numPr>
          <w:ilvl w:val="4"/>
          <w:numId w:val="142"/>
        </w:numPr>
        <w:ind w:hanging="0" w:left="567"/>
        <w:rPr>
          <w:rFonts w:ascii="Times New Roman" w:hAnsi="Times New Roman"/>
          <w:color w:val="000000"/>
        </w:rPr>
      </w:pPr>
      <w:r>
        <w:rPr>
          <w:rFonts w:ascii="Times New Roman" w:hAnsi="Times New Roman"/>
          <w:color w:val="000000"/>
          <w:shd w:fill="auto" w:val="clear"/>
        </w:rPr>
        <w:t>guias de recolhimento da contribuição previdenciária e do FGTS, referentes às rescisões contratuais;</w:t>
      </w:r>
    </w:p>
    <w:p>
      <w:pPr>
        <w:pStyle w:val="Normal"/>
        <w:numPr>
          <w:ilvl w:val="4"/>
          <w:numId w:val="143"/>
        </w:numPr>
        <w:ind w:hanging="0" w:left="567"/>
        <w:rPr>
          <w:rFonts w:ascii="Times New Roman" w:hAnsi="Times New Roman"/>
          <w:color w:val="000000"/>
        </w:rPr>
      </w:pPr>
      <w:r>
        <w:rPr>
          <w:rFonts w:ascii="Times New Roman" w:hAnsi="Times New Roman"/>
          <w:color w:val="000000"/>
          <w:shd w:fill="auto" w:val="clear"/>
        </w:rPr>
        <w:t>extratos dos depósitos efetuados nas contas vinculadas individuais do FGTS de cada empregado dispensado;</w:t>
      </w:r>
    </w:p>
    <w:p>
      <w:pPr>
        <w:pStyle w:val="Normal"/>
        <w:numPr>
          <w:ilvl w:val="4"/>
          <w:numId w:val="144"/>
        </w:numPr>
        <w:ind w:hanging="0" w:left="567"/>
        <w:rPr>
          <w:rFonts w:ascii="Times New Roman" w:hAnsi="Times New Roman"/>
          <w:color w:val="000000"/>
        </w:rPr>
      </w:pPr>
      <w:r>
        <w:rPr>
          <w:rFonts w:ascii="Times New Roman" w:hAnsi="Times New Roman"/>
          <w:color w:val="000000"/>
          <w:shd w:fill="auto" w:val="clear"/>
        </w:rPr>
        <w:t>exames médicos demissionais dos empregados dispensados.</w:t>
      </w:r>
    </w:p>
    <w:p>
      <w:pPr>
        <w:pStyle w:val="Normal"/>
        <w:numPr>
          <w:ilvl w:val="1"/>
          <w:numId w:val="1"/>
        </w:numPr>
        <w:ind w:hanging="432" w:left="567"/>
        <w:rPr>
          <w:rFonts w:ascii="Times New Roman" w:hAnsi="Times New Roman"/>
          <w:color w:val="000000"/>
        </w:rPr>
      </w:pPr>
      <w:r>
        <w:rPr>
          <w:rFonts w:ascii="Times New Roman" w:hAnsi="Times New Roman"/>
          <w:color w:val="000000"/>
          <w:shd w:fill="auto" w:val="clear"/>
        </w:rPr>
        <w:t xml:space="preserve">Sempre que houver admissão de novos empregados pela contratada, os documentos elencados no item </w:t>
      </w:r>
      <w:r>
        <w:rPr>
          <w:rFonts w:ascii="Times New Roman" w:hAnsi="Times New Roman"/>
          <w:color w:val="000000"/>
          <w:shd w:fill="auto" w:val="clear"/>
        </w:rPr>
        <w:fldChar w:fldCharType="begin"/>
      </w:r>
      <w:r>
        <w:rPr>
          <w:shd w:fill="auto" w:val="clear"/>
          <w:rFonts w:ascii="Times New Roman" w:hAnsi="Times New Roman"/>
          <w:color w:val="000000"/>
        </w:rPr>
        <w:instrText xml:space="preserve"> REF _Ref170748749 \r \r \h </w:instrText>
      </w:r>
      <w:r>
        <w:rPr>
          <w:shd w:fill="auto" w:val="clear"/>
          <w:rFonts w:ascii="Times New Roman" w:hAnsi="Times New Roman"/>
          <w:color w:val="000000"/>
        </w:rPr>
        <w:fldChar w:fldCharType="separate"/>
      </w:r>
      <w:r>
        <w:rPr>
          <w:shd w:fill="auto" w:val="clear"/>
          <w:rFonts w:ascii="Times New Roman" w:hAnsi="Times New Roman"/>
          <w:color w:val="000000"/>
        </w:rPr>
        <w:t>6.33.1.1</w:t>
      </w:r>
      <w:r>
        <w:rPr>
          <w:shd w:fill="auto" w:val="clear"/>
          <w:rFonts w:ascii="Times New Roman" w:hAnsi="Times New Roman"/>
          <w:color w:val="000000"/>
        </w:rPr>
        <w:fldChar w:fldCharType="end"/>
      </w:r>
      <w:r>
        <w:rPr>
          <w:rFonts w:ascii="Times New Roman" w:hAnsi="Times New Roman"/>
          <w:color w:val="000000"/>
          <w:shd w:fill="auto" w:val="clear"/>
        </w:rPr>
        <w:t xml:space="preserve"> acima deverão ser apresentados.</w:t>
      </w:r>
    </w:p>
    <w:p>
      <w:pPr>
        <w:pStyle w:val="Normal"/>
        <w:numPr>
          <w:ilvl w:val="1"/>
          <w:numId w:val="1"/>
        </w:numPr>
        <w:ind w:hanging="432" w:left="567"/>
        <w:rPr>
          <w:rFonts w:ascii="Times New Roman" w:hAnsi="Times New Roman"/>
          <w:color w:val="000000"/>
        </w:rPr>
      </w:pPr>
      <w:r>
        <w:rPr>
          <w:rFonts w:ascii="Times New Roman" w:hAnsi="Times New Roman"/>
          <w:color w:val="000000"/>
          <w:shd w:fill="auto" w:val="clear"/>
        </w:rPr>
        <w:t xml:space="preserve">A Administração deverá analisar a documentação solicitada no item </w:t>
      </w:r>
      <w:r>
        <w:rPr>
          <w:rFonts w:ascii="Times New Roman" w:hAnsi="Times New Roman"/>
          <w:color w:val="000000"/>
          <w:shd w:fill="auto" w:val="clear"/>
        </w:rPr>
        <w:fldChar w:fldCharType="begin"/>
      </w:r>
      <w:r>
        <w:rPr>
          <w:shd w:fill="auto" w:val="clear"/>
          <w:rFonts w:ascii="Times New Roman" w:hAnsi="Times New Roman"/>
          <w:color w:val="000000"/>
        </w:rPr>
        <w:instrText xml:space="preserve"> REF _Ref170748801 \r \r \h </w:instrText>
      </w:r>
      <w:r>
        <w:rPr>
          <w:shd w:fill="auto" w:val="clear"/>
          <w:rFonts w:ascii="Times New Roman" w:hAnsi="Times New Roman"/>
          <w:color w:val="000000"/>
        </w:rPr>
        <w:fldChar w:fldCharType="separate"/>
      </w:r>
      <w:r>
        <w:rPr>
          <w:shd w:fill="auto" w:val="clear"/>
          <w:rFonts w:ascii="Times New Roman" w:hAnsi="Times New Roman"/>
          <w:color w:val="000000"/>
        </w:rPr>
        <w:t>6.33.1.4</w:t>
      </w:r>
      <w:r>
        <w:rPr>
          <w:shd w:fill="auto" w:val="clear"/>
          <w:rFonts w:ascii="Times New Roman" w:hAnsi="Times New Roman"/>
          <w:color w:val="000000"/>
        </w:rPr>
        <w:fldChar w:fldCharType="end"/>
      </w:r>
      <w:r>
        <w:rPr>
          <w:rFonts w:ascii="Times New Roman" w:hAnsi="Times New Roman"/>
          <w:color w:val="000000"/>
          <w:shd w:fill="auto" w:val="clear"/>
        </w:rPr>
        <w:t xml:space="preserve"> acima no prazo de 30 (trinta) dias após o recebimento dos documentos, prorrogáveis por mais 30 (trinta) dias, justificadamente.</w:t>
      </w:r>
    </w:p>
    <w:p>
      <w:pPr>
        <w:pStyle w:val="Normal"/>
        <w:numPr>
          <w:ilvl w:val="1"/>
          <w:numId w:val="1"/>
        </w:numPr>
        <w:ind w:hanging="432" w:left="567"/>
        <w:rPr>
          <w:rFonts w:ascii="Times New Roman" w:hAnsi="Times New Roman"/>
          <w:color w:val="000000"/>
        </w:rPr>
      </w:pPr>
      <w:r>
        <w:rPr>
          <w:rFonts w:ascii="Times New Roman" w:hAnsi="Times New Roman"/>
          <w:color w:val="000000"/>
          <w:shd w:fill="auto" w:val="clear"/>
        </w:rPr>
        <w:t xml:space="preserve"> </w:t>
      </w:r>
      <w:r>
        <w:rPr>
          <w:rFonts w:ascii="Times New Roman" w:hAnsi="Times New Roman"/>
          <w:color w:val="000000"/>
          <w:shd w:fill="auto" w:val="clear"/>
        </w:rPr>
        <w:t>A cada período de 12 meses de vigência do contrato de trabalho, a contratada deverá encaminhar termo de quitação anual das obrigações trabalhistas, na forma do art. 507-B da CLT, ou comprovar a adoção de providências voltadas à sua obtenção, relativamente aos empregados alocados, em dedicação exclusiva, na prestação de serviços contratados.</w:t>
      </w:r>
    </w:p>
    <w:p>
      <w:pPr>
        <w:pStyle w:val="Normal"/>
        <w:numPr>
          <w:ilvl w:val="1"/>
          <w:numId w:val="1"/>
        </w:numPr>
        <w:ind w:hanging="432" w:left="567"/>
        <w:rPr>
          <w:rFonts w:ascii="Times New Roman" w:hAnsi="Times New Roman"/>
          <w:color w:val="000000"/>
        </w:rPr>
      </w:pPr>
      <w:r>
        <w:rPr>
          <w:rFonts w:ascii="Times New Roman" w:hAnsi="Times New Roman"/>
          <w:color w:val="000000"/>
          <w:shd w:fill="auto" w:val="clear"/>
        </w:rPr>
        <w:t>O termo de quitação anual efetivado deverá ser firmado junto ao respectivo Sindicato dos Empregados e obedecerá ao disposto no art. 507-B, parágrafo único, da CLT.</w:t>
      </w:r>
    </w:p>
    <w:p>
      <w:pPr>
        <w:pStyle w:val="Normal"/>
        <w:numPr>
          <w:ilvl w:val="1"/>
          <w:numId w:val="1"/>
        </w:numPr>
        <w:ind w:hanging="432" w:left="567"/>
        <w:rPr>
          <w:rFonts w:ascii="Times New Roman" w:hAnsi="Times New Roman"/>
          <w:color w:val="000000"/>
        </w:rPr>
      </w:pPr>
      <w:r>
        <w:rPr>
          <w:rFonts w:ascii="Times New Roman" w:hAnsi="Times New Roman"/>
          <w:color w:val="000000"/>
          <w:shd w:fill="auto" w:val="clear"/>
        </w:rPr>
        <w:t>Para fins de comprovação da adoção das providências a que se refere o presente item, será aceito qualquer meio de prova, tais como: recibo de convocação, declaração de negativa de negociação, ata de negociação, dentre outros.</w:t>
      </w:r>
    </w:p>
    <w:p>
      <w:pPr>
        <w:pStyle w:val="Normal"/>
        <w:numPr>
          <w:ilvl w:val="1"/>
          <w:numId w:val="1"/>
        </w:numPr>
        <w:ind w:hanging="432" w:left="567"/>
        <w:rPr>
          <w:rFonts w:ascii="Times New Roman" w:hAnsi="Times New Roman"/>
          <w:color w:val="000000"/>
        </w:rPr>
      </w:pPr>
      <w:r>
        <w:rPr>
          <w:rFonts w:ascii="Times New Roman" w:hAnsi="Times New Roman"/>
          <w:color w:val="000000"/>
          <w:shd w:fill="auto" w:val="clear"/>
        </w:rPr>
        <w:t>Não haverá pagamento adicional pela Contratante à Contratada em razão do cumprimento das obrigações previstas neste item.</w:t>
      </w:r>
    </w:p>
    <w:p>
      <w:pPr>
        <w:pStyle w:val="Normal"/>
        <w:numPr>
          <w:ilvl w:val="1"/>
          <w:numId w:val="1"/>
        </w:numPr>
        <w:ind w:hanging="432" w:left="567"/>
        <w:rPr>
          <w:rFonts w:ascii="Times New Roman" w:hAnsi="Times New Roman"/>
          <w:color w:val="000000"/>
        </w:rPr>
      </w:pPr>
      <w:r>
        <w:rPr>
          <w:rFonts w:ascii="Times New Roman" w:hAnsi="Times New Roman"/>
          <w:color w:val="000000"/>
          <w:shd w:fill="auto" w:val="clear"/>
        </w:rPr>
        <w:t>No caso de sociedades diversas, tais como as Organizações Sociais Civis de Interesse Público (Oscip’s) e as Organizações Sociais, será exigida a comprovação de atendimento a eventuais obrigações decorrentes da legislação que rege as respectivas organizações.</w:t>
      </w:r>
    </w:p>
    <w:p>
      <w:pPr>
        <w:pStyle w:val="Normal"/>
        <w:numPr>
          <w:ilvl w:val="1"/>
          <w:numId w:val="1"/>
        </w:numPr>
        <w:ind w:hanging="432" w:left="567"/>
        <w:rPr>
          <w:rFonts w:ascii="Times New Roman" w:hAnsi="Times New Roman"/>
          <w:color w:val="000000"/>
        </w:rPr>
      </w:pPr>
      <w:r>
        <w:rPr>
          <w:rFonts w:ascii="Times New Roman" w:hAnsi="Times New Roman"/>
          <w:color w:val="000000"/>
          <w:shd w:fill="auto" w:val="clear"/>
        </w:rPr>
        <w:t>Os documentos necessários à comprovação do cumprimento das obrigações sociais trabalhistas poderão ser apresentados em original ou por qualquer processo de cópia autenticada por cartório competente ou por servidor da Administração.</w:t>
      </w:r>
    </w:p>
    <w:p>
      <w:pPr>
        <w:pStyle w:val="Normal"/>
        <w:numPr>
          <w:ilvl w:val="1"/>
          <w:numId w:val="1"/>
        </w:numPr>
        <w:ind w:hanging="432" w:left="567"/>
        <w:rPr>
          <w:rFonts w:ascii="Times New Roman" w:hAnsi="Times New Roman"/>
          <w:color w:val="000000"/>
        </w:rPr>
      </w:pPr>
      <w:r>
        <w:rPr>
          <w:rFonts w:ascii="Times New Roman" w:hAnsi="Times New Roman"/>
          <w:color w:val="000000"/>
          <w:shd w:fill="auto" w:val="clear"/>
        </w:rPr>
        <w:t>Em caso de indício de irregularidade no recolhimento das contribuições previdenciárias, os fiscais ou gestores de contratos de serviços com regime de dedicação exclusiva de mão de obra deverão oficiar à Receita Federal do Brasil (RFB).</w:t>
      </w:r>
    </w:p>
    <w:p>
      <w:pPr>
        <w:pStyle w:val="Normal"/>
        <w:numPr>
          <w:ilvl w:val="1"/>
          <w:numId w:val="1"/>
        </w:numPr>
        <w:ind w:hanging="432" w:left="567"/>
        <w:rPr>
          <w:rFonts w:ascii="Times New Roman" w:hAnsi="Times New Roman"/>
          <w:color w:val="000000"/>
        </w:rPr>
      </w:pPr>
      <w:r>
        <w:rPr>
          <w:rFonts w:ascii="Times New Roman" w:hAnsi="Times New Roman"/>
          <w:color w:val="000000"/>
          <w:shd w:fill="auto" w:val="clear"/>
        </w:rPr>
        <w:t>Em caso de indício de irregularidade no recolhimento da contribuição para o FGTS, os fiscais ou gestores de contratos de serviços com regime de dedicação exclusiva de mão de obra deverão oficiar ao Ministério do Trabalho.</w:t>
      </w:r>
    </w:p>
    <w:p>
      <w:pPr>
        <w:pStyle w:val="Normal"/>
        <w:numPr>
          <w:ilvl w:val="1"/>
          <w:numId w:val="1"/>
        </w:numPr>
        <w:ind w:hanging="432" w:left="567"/>
        <w:rPr>
          <w:rFonts w:ascii="Times New Roman" w:hAnsi="Times New Roman"/>
          <w:color w:val="000000"/>
        </w:rPr>
      </w:pPr>
      <w:r>
        <w:rPr>
          <w:rFonts w:ascii="Times New Roman" w:hAnsi="Times New Roman"/>
          <w:color w:val="000000"/>
          <w:shd w:fill="auto" w:val="clear"/>
        </w:rPr>
        <w:t>O descumprimento das obrigações trabalhistas ou a não manutenção das condições de habilitação pelo Contratado poderá dar ensejo à rescisão contratual, sem prejuízo das demais sanções.</w:t>
      </w:r>
    </w:p>
    <w:p>
      <w:pPr>
        <w:pStyle w:val="Normal"/>
        <w:numPr>
          <w:ilvl w:val="1"/>
          <w:numId w:val="1"/>
        </w:numPr>
        <w:ind w:hanging="432" w:left="567"/>
        <w:rPr>
          <w:rFonts w:ascii="Times New Roman" w:hAnsi="Times New Roman"/>
          <w:color w:val="000000"/>
        </w:rPr>
      </w:pPr>
      <w:r>
        <w:rPr>
          <w:rFonts w:ascii="Times New Roman" w:hAnsi="Times New Roman"/>
          <w:color w:val="000000"/>
          <w:shd w:fill="auto" w:val="clear"/>
        </w:rPr>
        <w:t>A Administração Contratante poderá conceder um prazo para que o Contratado regularize suas obrigações trabalhistas ou suas condições de habilitação, sob pena de rescisão contratual, quando não identificar má-fé ou a incapacidade da empresa de corrigir.</w:t>
      </w:r>
    </w:p>
    <w:p>
      <w:pPr>
        <w:pStyle w:val="Normal"/>
        <w:numPr>
          <w:ilvl w:val="1"/>
          <w:numId w:val="1"/>
        </w:numPr>
        <w:ind w:hanging="432" w:left="567"/>
        <w:rPr>
          <w:rFonts w:ascii="Times New Roman" w:hAnsi="Times New Roman"/>
          <w:color w:val="000000"/>
        </w:rPr>
      </w:pPr>
      <w:r>
        <w:rPr>
          <w:rFonts w:ascii="Times New Roman" w:hAnsi="Times New Roman"/>
          <w:color w:val="000000"/>
          <w:shd w:fill="auto" w:val="clear"/>
        </w:rPr>
        <w:t xml:space="preserve">Caso não seja apresentada a documentação comprobatória do cumprimento das obrigações trabalhistas, previdenciárias e para com o FGTS, o Contratante comunicará o fato ao Contratado e reterá o pagamento da fatura mensal, em valor proporcional ao inadimplemento, até que a situação seja regularizada. </w:t>
      </w:r>
    </w:p>
    <w:p>
      <w:pPr>
        <w:pStyle w:val="Normal"/>
        <w:numPr>
          <w:ilvl w:val="1"/>
          <w:numId w:val="1"/>
        </w:numPr>
        <w:ind w:hanging="432" w:left="567"/>
        <w:rPr>
          <w:rFonts w:ascii="Times New Roman" w:hAnsi="Times New Roman"/>
          <w:color w:val="000000"/>
        </w:rPr>
      </w:pPr>
      <w:r>
        <w:rPr>
          <w:rFonts w:ascii="Times New Roman" w:hAnsi="Times New Roman"/>
          <w:color w:val="000000"/>
          <w:shd w:fill="auto" w:val="clear"/>
        </w:rPr>
        <w:t xml:space="preserve">Não havendo quitação das obrigações por parte do Contratado no prazo de quinze dias, o Contratante poderá efetuar o pagamento das obrigações diretamente aos empregados do Contratado que tenham participado da execução dos serviços objeto do contrato. </w:t>
      </w:r>
    </w:p>
    <w:p>
      <w:pPr>
        <w:pStyle w:val="Normal"/>
        <w:numPr>
          <w:ilvl w:val="1"/>
          <w:numId w:val="1"/>
        </w:numPr>
        <w:ind w:hanging="432" w:left="567"/>
        <w:rPr>
          <w:rFonts w:ascii="Times New Roman" w:hAnsi="Times New Roman"/>
          <w:color w:val="000000"/>
        </w:rPr>
      </w:pPr>
      <w:r>
        <w:rPr>
          <w:rFonts w:ascii="Times New Roman" w:hAnsi="Times New Roman"/>
          <w:color w:val="000000"/>
          <w:shd w:fill="auto" w:val="clear"/>
        </w:rPr>
        <w:t xml:space="preserve">O sindicato representante da categoria do trabalhador deverá ser notificado pelo Contratante para acompanhar o pagamento das verbas mencionadas. </w:t>
      </w:r>
    </w:p>
    <w:p>
      <w:pPr>
        <w:pStyle w:val="Normal"/>
        <w:numPr>
          <w:ilvl w:val="1"/>
          <w:numId w:val="1"/>
        </w:numPr>
        <w:ind w:hanging="432" w:left="567"/>
        <w:rPr>
          <w:rFonts w:ascii="Times New Roman" w:hAnsi="Times New Roman"/>
          <w:color w:val="000000"/>
        </w:rPr>
      </w:pPr>
      <w:r>
        <w:rPr>
          <w:rFonts w:ascii="Times New Roman" w:hAnsi="Times New Roman"/>
          <w:color w:val="000000"/>
          <w:shd w:fill="auto" w:val="clear"/>
        </w:rPr>
        <w:t>Tais pagamentos não configuram vínculo empregatício ou implicam a assunção de responsabilidade por quaisquer obrigações dele decorrentes entre o Contratante e os empregados do Contratado.</w:t>
      </w:r>
    </w:p>
    <w:p>
      <w:pPr>
        <w:pStyle w:val="Normal"/>
        <w:numPr>
          <w:ilvl w:val="1"/>
          <w:numId w:val="1"/>
        </w:numPr>
        <w:ind w:hanging="432" w:left="567"/>
        <w:rPr>
          <w:rFonts w:ascii="Times New Roman" w:hAnsi="Times New Roman"/>
          <w:color w:val="000000"/>
        </w:rPr>
      </w:pPr>
      <w:r>
        <w:rPr>
          <w:rFonts w:ascii="Times New Roman" w:hAnsi="Times New Roman"/>
          <w:color w:val="000000"/>
          <w:shd w:fill="auto" w:val="clear"/>
        </w:rPr>
        <w:t>O contrato só será considerado integralmente cumprido após a comprovação, pelo Contratado, do pagamento de todas as obrigações trabalhistas, sociais e previdenciárias e para com o FGTS referentes à mão de obra alocada em sua execução, inclusive quanto às verbas rescisórias.</w:t>
      </w:r>
    </w:p>
    <w:p>
      <w:pPr>
        <w:pStyle w:val="Normal"/>
        <w:numPr>
          <w:ilvl w:val="1"/>
          <w:numId w:val="1"/>
        </w:numPr>
        <w:ind w:hanging="432" w:left="567"/>
        <w:rPr>
          <w:rFonts w:ascii="Times New Roman" w:hAnsi="Times New Roman"/>
          <w:color w:val="000000"/>
        </w:rPr>
      </w:pPr>
      <w:r>
        <w:rPr>
          <w:rFonts w:ascii="Times New Roman" w:hAnsi="Times New Roman"/>
          <w:color w:val="000000"/>
          <w:shd w:fill="auto" w:val="clear"/>
        </w:rPr>
        <w:t>O Contratado é responsável pelos encargos trabalhistas, previdenciários, fiscais e comerciais resultantes da execução do contrato.</w:t>
      </w:r>
    </w:p>
    <w:p>
      <w:pPr>
        <w:pStyle w:val="Normal"/>
        <w:numPr>
          <w:ilvl w:val="1"/>
          <w:numId w:val="1"/>
        </w:numPr>
        <w:ind w:hanging="432" w:left="567"/>
        <w:rPr>
          <w:rFonts w:ascii="Times New Roman" w:hAnsi="Times New Roman"/>
          <w:color w:val="000000"/>
        </w:rPr>
      </w:pPr>
      <w:r>
        <w:rPr>
          <w:rFonts w:ascii="Times New Roman" w:hAnsi="Times New Roman"/>
          <w:color w:val="000000"/>
          <w:shd w:fill="auto" w:val="clear"/>
        </w:rPr>
        <w:t>A inadimplência do Contratado quanto aos encargos trabalhistas, fiscais e comerciais não transfere à Administração Pública a responsabilidade por seu pagamento.</w:t>
      </w:r>
    </w:p>
    <w:p>
      <w:pPr>
        <w:pStyle w:val="Normal"/>
        <w:numPr>
          <w:ilvl w:val="1"/>
          <w:numId w:val="1"/>
        </w:numPr>
        <w:ind w:hanging="432" w:left="567"/>
        <w:rPr>
          <w:rFonts w:ascii="Times New Roman" w:hAnsi="Times New Roman"/>
          <w:color w:val="000000"/>
        </w:rPr>
      </w:pPr>
      <w:r>
        <w:rPr>
          <w:rFonts w:ascii="Times New Roman" w:hAnsi="Times New Roman"/>
          <w:color w:val="000000"/>
          <w:shd w:fill="auto" w:val="clear"/>
        </w:rPr>
        <w:t>A fiscalização administrativa observará, ainda, as diretrizes relacionadas no item 10 do Anexo VIII-B da Instrução Normativa nº 5, de 26 de maio de 2017, cuja incidência se admite por força da Instrução Normativa Seges/Me nº 98, de 26 de dezembro de 2022.</w:t>
      </w:r>
    </w:p>
    <w:p>
      <w:pPr>
        <w:pStyle w:val="Normal"/>
        <w:numPr>
          <w:ilvl w:val="1"/>
          <w:numId w:val="1"/>
        </w:numPr>
        <w:ind w:hanging="432" w:left="567"/>
        <w:rPr>
          <w:rFonts w:ascii="Times New Roman" w:hAnsi="Times New Roman"/>
          <w:color w:val="000000"/>
        </w:rPr>
      </w:pPr>
      <w:r>
        <w:rPr>
          <w:rFonts w:ascii="Times New Roman" w:hAnsi="Times New Roman"/>
          <w:color w:val="000000"/>
          <w:shd w:fill="auto" w:val="clear"/>
        </w:rPr>
        <w:t>Para efeito de recebimento provisório, ao final de cada período mensal, o fiscal administrativo deverá verificar a efetiva realização dos dispêndios concernentes aos salários e às obrigações trabalhistas, previdenciárias e com o FGTS do mês anterior, dentre outros, emitindo relatório que será encaminhado ao gestor do contrato.</w:t>
      </w:r>
    </w:p>
    <w:p>
      <w:pPr>
        <w:pStyle w:val="Normal"/>
        <w:numPr>
          <w:ilvl w:val="1"/>
          <w:numId w:val="1"/>
        </w:numPr>
        <w:ind w:hanging="432" w:left="567"/>
        <w:rPr>
          <w:rFonts w:ascii="Times New Roman" w:hAnsi="Times New Roman"/>
          <w:color w:val="000000"/>
        </w:rPr>
      </w:pPr>
      <w:r>
        <w:rPr>
          <w:rFonts w:ascii="Times New Roman" w:hAnsi="Times New Roman"/>
          <w:color w:val="000000"/>
          <w:shd w:fill="auto" w:val="clear"/>
        </w:rPr>
        <w:t xml:space="preserve">A fiscalização administrativa verificará a possibilidade de compensação de jornada de trabalho, que poderá ser adotada nas seguintes hipóteses: </w:t>
      </w:r>
    </w:p>
    <w:p>
      <w:pPr>
        <w:pStyle w:val="Normal"/>
        <w:numPr>
          <w:ilvl w:val="2"/>
          <w:numId w:val="145"/>
        </w:numPr>
        <w:ind w:hanging="0" w:left="567"/>
        <w:rPr>
          <w:rFonts w:ascii="Times New Roman" w:hAnsi="Times New Roman"/>
          <w:color w:val="000000"/>
        </w:rPr>
      </w:pPr>
      <w:r>
        <w:rPr>
          <w:rFonts w:ascii="Times New Roman" w:hAnsi="Times New Roman"/>
          <w:color w:val="000000"/>
          <w:shd w:fill="auto" w:val="clear"/>
        </w:rPr>
        <w:t>diminuição excepcional e temporária da demanda de trabalho na unidade de execução, inclusive na hipótese de recesso de final de ano, quando houver; e</w:t>
      </w:r>
    </w:p>
    <w:p>
      <w:pPr>
        <w:pStyle w:val="Normal"/>
        <w:numPr>
          <w:ilvl w:val="2"/>
          <w:numId w:val="146"/>
        </w:numPr>
        <w:ind w:hanging="0" w:left="567"/>
        <w:rPr>
          <w:rFonts w:ascii="Times New Roman" w:hAnsi="Times New Roman"/>
          <w:color w:val="000000"/>
        </w:rPr>
      </w:pPr>
      <w:r>
        <w:rPr>
          <w:rFonts w:ascii="Times New Roman" w:hAnsi="Times New Roman"/>
          <w:color w:val="000000"/>
          <w:shd w:fill="auto" w:val="clear"/>
        </w:rPr>
        <w:t>necessidade eventual de caráter pessoal dos trabalhadores, em que não se mostre eficiente ou conveniente convocar trabalhadores substitutos.</w:t>
      </w:r>
    </w:p>
    <w:p>
      <w:pPr>
        <w:pStyle w:val="Normal"/>
        <w:numPr>
          <w:ilvl w:val="1"/>
          <w:numId w:val="1"/>
        </w:numPr>
        <w:ind w:hanging="432" w:left="567"/>
        <w:rPr>
          <w:rFonts w:ascii="Times New Roman" w:hAnsi="Times New Roman"/>
          <w:color w:val="000000"/>
        </w:rPr>
      </w:pPr>
      <w:r>
        <w:rPr>
          <w:rFonts w:ascii="Times New Roman" w:hAnsi="Times New Roman"/>
          <w:color w:val="000000"/>
          <w:shd w:fill="auto" w:val="clear"/>
        </w:rPr>
        <w:t>As compensações de jornada limitam-se:</w:t>
      </w:r>
    </w:p>
    <w:p>
      <w:pPr>
        <w:pStyle w:val="Normal"/>
        <w:numPr>
          <w:ilvl w:val="2"/>
          <w:numId w:val="147"/>
        </w:numPr>
        <w:ind w:hanging="0" w:left="567"/>
        <w:rPr>
          <w:rFonts w:ascii="Times New Roman" w:hAnsi="Times New Roman"/>
          <w:color w:val="000000"/>
        </w:rPr>
      </w:pPr>
      <w:r>
        <w:rPr>
          <w:rFonts w:ascii="Times New Roman" w:hAnsi="Times New Roman"/>
          <w:color w:val="000000"/>
          <w:shd w:fill="auto" w:val="clear"/>
        </w:rPr>
        <w:t xml:space="preserve"> </w:t>
      </w:r>
      <w:r>
        <w:rPr>
          <w:rFonts w:ascii="Times New Roman" w:hAnsi="Times New Roman"/>
          <w:color w:val="000000"/>
          <w:shd w:fill="auto" w:val="clear"/>
        </w:rPr>
        <w:t>à jornada diária máxima de 10 (dez) horas; e</w:t>
      </w:r>
    </w:p>
    <w:p>
      <w:pPr>
        <w:pStyle w:val="Normal"/>
        <w:numPr>
          <w:ilvl w:val="2"/>
          <w:numId w:val="148"/>
        </w:numPr>
        <w:ind w:hanging="0" w:left="567"/>
        <w:rPr>
          <w:rFonts w:ascii="Times New Roman" w:hAnsi="Times New Roman"/>
          <w:color w:val="000000"/>
        </w:rPr>
      </w:pPr>
      <w:r>
        <w:rPr>
          <w:rFonts w:ascii="Times New Roman" w:hAnsi="Times New Roman"/>
          <w:color w:val="000000"/>
          <w:shd w:fill="auto" w:val="clear"/>
        </w:rPr>
        <w:t xml:space="preserve"> </w:t>
      </w:r>
      <w:r>
        <w:rPr>
          <w:rFonts w:ascii="Times New Roman" w:hAnsi="Times New Roman"/>
          <w:color w:val="000000"/>
          <w:shd w:fill="auto" w:val="clear"/>
        </w:rPr>
        <w:t>ao acréscimo de 2 (duas) horas à jornada diária do trabalhador.</w:t>
      </w:r>
    </w:p>
    <w:p>
      <w:pPr>
        <w:pStyle w:val="Normal"/>
        <w:numPr>
          <w:ilvl w:val="1"/>
          <w:numId w:val="1"/>
        </w:numPr>
        <w:ind w:hanging="432" w:left="567"/>
        <w:rPr>
          <w:rFonts w:ascii="Times New Roman" w:hAnsi="Times New Roman"/>
          <w:color w:val="000000"/>
        </w:rPr>
      </w:pPr>
      <w:r>
        <w:rPr>
          <w:rFonts w:ascii="Times New Roman" w:hAnsi="Times New Roman"/>
          <w:color w:val="000000"/>
          <w:shd w:fill="auto" w:val="clear"/>
        </w:rPr>
        <w:t>A compensação de jornada depende do interesse manifestado pelo trabalhador e da avaliação do responsável pela unidade de execução.</w:t>
      </w:r>
    </w:p>
    <w:p>
      <w:pPr>
        <w:pStyle w:val="Normal"/>
        <w:ind w:hanging="0" w:left="567"/>
        <w:rPr>
          <w:rFonts w:ascii="Times New Roman" w:hAnsi="Times New Roman"/>
          <w:color w:val="000000"/>
        </w:rPr>
      </w:pPr>
      <w:r>
        <w:rPr>
          <w:rFonts w:ascii="Times New Roman" w:hAnsi="Times New Roman"/>
          <w:color w:val="000000"/>
          <w:shd w:fill="auto" w:val="clear"/>
        </w:rPr>
        <w:t>Gestor do Contrato</w:t>
      </w:r>
    </w:p>
    <w:p>
      <w:pPr>
        <w:pStyle w:val="Normal"/>
        <w:numPr>
          <w:ilvl w:val="1"/>
          <w:numId w:val="1"/>
        </w:numPr>
        <w:ind w:hanging="0" w:left="567"/>
        <w:rPr>
          <w:rFonts w:ascii="Times New Roman" w:hAnsi="Times New Roman"/>
          <w:color w:val="000000"/>
        </w:rPr>
      </w:pPr>
      <w:r>
        <w:rPr>
          <w:rFonts w:ascii="Times New Roman" w:hAnsi="Times New Roman"/>
          <w:color w:val="000000"/>
        </w:rPr>
        <w:t>Cabe ao gestor do contrato:</w:t>
      </w:r>
    </w:p>
    <w:p>
      <w:pPr>
        <w:pStyle w:val="Normal"/>
        <w:numPr>
          <w:ilvl w:val="2"/>
          <w:numId w:val="149"/>
        </w:numPr>
        <w:ind w:hanging="0" w:left="567"/>
        <w:rPr>
          <w:rFonts w:ascii="Times New Roman" w:hAnsi="Times New Roman"/>
          <w:color w:val="000000"/>
        </w:rPr>
      </w:pPr>
      <w:r>
        <w:rPr>
          <w:rFonts w:ascii="Times New Roman" w:hAnsi="Times New Roman"/>
          <w:color w:val="000000"/>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pPr>
        <w:pStyle w:val="Normal"/>
        <w:numPr>
          <w:ilvl w:val="2"/>
          <w:numId w:val="150"/>
        </w:numPr>
        <w:ind w:hanging="0" w:left="567"/>
        <w:rPr>
          <w:rFonts w:ascii="Times New Roman" w:hAnsi="Times New Roman"/>
          <w:color w:val="000000"/>
        </w:rPr>
      </w:pPr>
      <w:r>
        <w:rPr>
          <w:rFonts w:ascii="Times New Roman" w:hAnsi="Times New Roman"/>
          <w:color w:val="000000"/>
        </w:rPr>
        <w:t>acompanhar os registros realizados pelos fiscais do contrato, de todas as ocorrências relacionadas à execução do contrato e as medidas adotadas, informando, se for o caso, à autoridade superior àquelas que ultrapassarem a sua competência.</w:t>
      </w:r>
    </w:p>
    <w:p>
      <w:pPr>
        <w:pStyle w:val="Normal"/>
        <w:numPr>
          <w:ilvl w:val="2"/>
          <w:numId w:val="151"/>
        </w:numPr>
        <w:ind w:hanging="0" w:left="567"/>
        <w:rPr>
          <w:rFonts w:ascii="Times New Roman" w:hAnsi="Times New Roman"/>
          <w:color w:val="000000"/>
        </w:rPr>
      </w:pPr>
      <w:r>
        <w:rPr>
          <w:rFonts w:ascii="Times New Roman" w:hAnsi="Times New Roman"/>
          <w:color w:val="000000"/>
        </w:rPr>
        <w:t>acompanhar a manutenção das condições de habilitação da contratada, para fins de empenho de despesa e pagamento, e anotará os problemas que obstem o fluxo normal da liquidação e do pagamento da despesa no relatório de riscos eventuais.</w:t>
      </w:r>
    </w:p>
    <w:p>
      <w:pPr>
        <w:pStyle w:val="Normal"/>
        <w:numPr>
          <w:ilvl w:val="2"/>
          <w:numId w:val="152"/>
        </w:numPr>
        <w:ind w:hanging="0" w:left="567"/>
        <w:rPr>
          <w:rFonts w:ascii="Times New Roman" w:hAnsi="Times New Roman"/>
          <w:color w:val="000000"/>
        </w:rPr>
      </w:pPr>
      <w:r>
        <w:rPr>
          <w:rFonts w:ascii="Times New Roman" w:hAnsi="Times New Roman"/>
          <w:color w:val="000000"/>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pPr>
        <w:pStyle w:val="Normal"/>
        <w:numPr>
          <w:ilvl w:val="2"/>
          <w:numId w:val="153"/>
        </w:numPr>
        <w:ind w:hanging="0" w:left="567"/>
        <w:rPr>
          <w:rFonts w:ascii="Times New Roman" w:hAnsi="Times New Roman"/>
          <w:color w:val="000000"/>
        </w:rPr>
      </w:pPr>
      <w:r>
        <w:rPr>
          <w:rFonts w:ascii="Times New Roman" w:hAnsi="Times New Roman"/>
          <w:color w:val="000000"/>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pPr>
        <w:pStyle w:val="Normal"/>
        <w:numPr>
          <w:ilvl w:val="2"/>
          <w:numId w:val="154"/>
        </w:numPr>
        <w:ind w:hanging="0" w:left="567"/>
        <w:rPr>
          <w:rFonts w:ascii="Times New Roman" w:hAnsi="Times New Roman"/>
          <w:color w:val="000000"/>
        </w:rPr>
      </w:pPr>
      <w:r>
        <w:rPr>
          <w:rFonts w:ascii="Times New Roman" w:hAnsi="Times New Roman"/>
          <w:color w:val="000000"/>
        </w:rPr>
        <w:t>elaborar relatório final com informações sobre a consecução dos objetivos que tenham justificado a contratação e eventuais condutas a serem adotadas para o aprimoramento das atividades da Administração.</w:t>
      </w:r>
    </w:p>
    <w:p>
      <w:pPr>
        <w:pStyle w:val="Normal"/>
        <w:numPr>
          <w:ilvl w:val="2"/>
          <w:numId w:val="155"/>
        </w:numPr>
        <w:ind w:hanging="0" w:left="567"/>
        <w:rPr>
          <w:rFonts w:ascii="Times New Roman" w:hAnsi="Times New Roman"/>
          <w:color w:val="000000"/>
        </w:rPr>
      </w:pPr>
      <w:r>
        <w:rPr>
          <w:rFonts w:ascii="Times New Roman" w:hAnsi="Times New Roman"/>
          <w:color w:val="000000"/>
        </w:rPr>
        <w:t>enviar a documentação pertinente ao setor de contratos para a formalização dos procedimentos de liquidação e pagamento, no valor dimensionado pela fiscalização e gestão nos termos do contrato.</w:t>
      </w:r>
    </w:p>
    <w:p>
      <w:pPr>
        <w:pStyle w:val="Normal"/>
        <w:numPr>
          <w:ilvl w:val="1"/>
          <w:numId w:val="1"/>
        </w:numPr>
        <w:ind w:hanging="432" w:left="567"/>
        <w:rPr>
          <w:rFonts w:ascii="Times New Roman" w:hAnsi="Times New Roman"/>
          <w:color w:val="000000"/>
        </w:rPr>
      </w:pPr>
      <w:r>
        <w:rPr>
          <w:rFonts w:ascii="Times New Roman" w:hAnsi="Times New Roman"/>
          <w:color w:val="000000"/>
          <w:shd w:fill="auto" w:val="clear"/>
        </w:rPr>
        <w:t>Para os períodos de diminuição excepcional e temporária de trabalho, inclusive em razão de recesso de fim de ano, o gestor avaliará a conveniência e oportunidade de elaboração de escalas de revezamento dos trabalhadores, comunicando a todas as unidades sobre a possibilidade e os requisitos para concessão (artigo 11 da Instrução Normativa SEGES/MGI nº 81, de 12 de setembro de 2024).</w:t>
      </w:r>
    </w:p>
    <w:p>
      <w:pPr>
        <w:pStyle w:val="Normal"/>
        <w:ind w:hanging="432" w:left="567"/>
        <w:rPr>
          <w:rFonts w:ascii="Times New Roman" w:hAnsi="Times New Roman"/>
          <w:color w:val="000000"/>
        </w:rPr>
      </w:pPr>
      <w:r>
        <w:rPr>
          <w:rFonts w:ascii="Times New Roman" w:hAnsi="Times New Roman"/>
          <w:color w:val="000000"/>
        </w:rPr>
      </w:r>
    </w:p>
    <w:p>
      <w:pPr>
        <w:pStyle w:val="Normal"/>
        <w:numPr>
          <w:ilvl w:val="0"/>
          <w:numId w:val="1"/>
        </w:numPr>
        <w:ind w:hanging="357" w:left="567"/>
        <w:rPr>
          <w:b/>
          <w:bCs/>
        </w:rPr>
      </w:pPr>
      <w:r>
        <w:rPr>
          <w:rFonts w:ascii="Times New Roman" w:hAnsi="Times New Roman"/>
          <w:b/>
          <w:bCs/>
          <w:color w:val="000000"/>
        </w:rPr>
        <w:t>CRITÉRIOS DE MEDIÇÃO E PAGAMENTO</w:t>
      </w:r>
    </w:p>
    <w:p>
      <w:pPr>
        <w:pStyle w:val="Normal"/>
        <w:numPr>
          <w:ilvl w:val="1"/>
          <w:numId w:val="1"/>
        </w:numPr>
        <w:ind w:hanging="432" w:left="567"/>
        <w:rPr>
          <w:rFonts w:ascii="Times New Roman" w:hAnsi="Times New Roman"/>
          <w:color w:val="000000"/>
        </w:rPr>
      </w:pPr>
      <w:r>
        <w:rPr>
          <w:rFonts w:ascii="Times New Roman" w:hAnsi="Times New Roman"/>
          <w:color w:val="000000"/>
        </w:rPr>
        <w:t>A avaliação da execução do objeto utilizará o Instrumento de Medição de Resultado (IMR), conforme previsto no anexo, para aferição da qualidade da prestação dos serviços.</w:t>
      </w:r>
    </w:p>
    <w:p>
      <w:pPr>
        <w:pStyle w:val="Normal"/>
        <w:numPr>
          <w:ilvl w:val="1"/>
          <w:numId w:val="1"/>
        </w:numPr>
        <w:ind w:hanging="0" w:left="567"/>
        <w:rPr>
          <w:rFonts w:ascii="Times New Roman" w:hAnsi="Times New Roman"/>
          <w:color w:val="000000"/>
        </w:rPr>
      </w:pPr>
      <w:r>
        <w:rPr>
          <w:rFonts w:ascii="Times New Roman" w:hAnsi="Times New Roman"/>
          <w:color w:val="000000"/>
        </w:rPr>
        <w:t>Será indicada a retenção ou glosa no pagamento, proporcional à irregularidade verificada, sem prejuízo das sanções cabíveis, caso se constate que o Contratado:</w:t>
      </w:r>
    </w:p>
    <w:p>
      <w:pPr>
        <w:pStyle w:val="Normal"/>
        <w:numPr>
          <w:ilvl w:val="2"/>
          <w:numId w:val="156"/>
        </w:numPr>
        <w:ind w:hanging="0" w:left="567"/>
        <w:rPr>
          <w:rFonts w:ascii="Times New Roman" w:hAnsi="Times New Roman"/>
          <w:color w:val="000000"/>
        </w:rPr>
      </w:pPr>
      <w:r>
        <w:rPr>
          <w:rFonts w:ascii="Times New Roman" w:hAnsi="Times New Roman"/>
          <w:color w:val="000000"/>
        </w:rPr>
        <w:t>não produziu os resultados acordados,</w:t>
      </w:r>
    </w:p>
    <w:p>
      <w:pPr>
        <w:pStyle w:val="Normal"/>
        <w:numPr>
          <w:ilvl w:val="2"/>
          <w:numId w:val="157"/>
        </w:numPr>
        <w:ind w:hanging="0" w:left="567"/>
        <w:rPr>
          <w:rFonts w:ascii="Times New Roman" w:hAnsi="Times New Roman"/>
          <w:color w:val="000000"/>
        </w:rPr>
      </w:pPr>
      <w:r>
        <w:rPr>
          <w:rFonts w:ascii="Times New Roman" w:hAnsi="Times New Roman"/>
          <w:color w:val="000000"/>
        </w:rPr>
        <w:t>deixou de executar, ou não executou com a qualidade mínima exigida as atividades contratadas; ou</w:t>
      </w:r>
    </w:p>
    <w:p>
      <w:pPr>
        <w:pStyle w:val="Normal"/>
        <w:numPr>
          <w:ilvl w:val="2"/>
          <w:numId w:val="158"/>
        </w:numPr>
        <w:ind w:hanging="0" w:left="567"/>
        <w:rPr>
          <w:rFonts w:ascii="Times New Roman" w:hAnsi="Times New Roman"/>
          <w:color w:val="000000"/>
        </w:rPr>
      </w:pPr>
      <w:r>
        <w:rPr>
          <w:rFonts w:ascii="Times New Roman" w:hAnsi="Times New Roman"/>
          <w:color w:val="000000"/>
        </w:rPr>
        <w:t>deixou de utilizar materiais e recursos humanos exigidos para a execução do serviço, ou os utilizou com qualidade ou quantidade inferior à demandada.</w:t>
      </w:r>
    </w:p>
    <w:p>
      <w:pPr>
        <w:pStyle w:val="Normal"/>
        <w:numPr>
          <w:ilvl w:val="1"/>
          <w:numId w:val="1"/>
        </w:numPr>
        <w:ind w:hanging="432" w:left="567"/>
        <w:rPr>
          <w:rFonts w:ascii="Times New Roman" w:hAnsi="Times New Roman"/>
          <w:color w:val="000000"/>
        </w:rPr>
      </w:pPr>
      <w:r>
        <w:rPr>
          <w:rFonts w:ascii="Times New Roman" w:hAnsi="Times New Roman"/>
          <w:color w:val="000000"/>
        </w:rPr>
        <w:t>A utilização do IMR não impede a aplicação concomitante de outros mecanismos para a avaliação da prestação dos serviços.</w:t>
      </w:r>
    </w:p>
    <w:p>
      <w:pPr>
        <w:pStyle w:val="Normal"/>
        <w:numPr>
          <w:ilvl w:val="1"/>
          <w:numId w:val="1"/>
        </w:numPr>
        <w:ind w:hanging="432" w:left="567"/>
        <w:rPr>
          <w:rFonts w:ascii="Times New Roman" w:hAnsi="Times New Roman"/>
          <w:color w:val="000000"/>
        </w:rPr>
      </w:pPr>
      <w:r>
        <w:rPr>
          <w:rFonts w:ascii="Times New Roman" w:hAnsi="Times New Roman"/>
          <w:color w:val="000000"/>
        </w:rPr>
        <w:t xml:space="preserve">A aferição da execução contratual para fins de pagamento considerará os seguintes critérios: </w:t>
      </w:r>
    </w:p>
    <w:p>
      <w:pPr>
        <w:pStyle w:val="Normal"/>
        <w:numPr>
          <w:ilvl w:val="2"/>
          <w:numId w:val="1"/>
        </w:numPr>
        <w:ind w:hanging="432" w:left="567"/>
        <w:rPr>
          <w:rFonts w:ascii="Times New Roman" w:hAnsi="Times New Roman"/>
          <w:color w:val="000000"/>
        </w:rPr>
      </w:pPr>
      <w:r>
        <w:rPr>
          <w:rFonts w:ascii="Times New Roman" w:hAnsi="Times New Roman"/>
          <w:color w:val="000000"/>
          <w:sz w:val="20"/>
          <w:szCs w:val="20"/>
        </w:rPr>
        <w:t xml:space="preserve"> </w:t>
      </w:r>
      <w:r>
        <w:rPr>
          <w:rFonts w:ascii="Times New Roman" w:hAnsi="Times New Roman"/>
          <w:b w:val="false"/>
          <w:i/>
          <w:color w:val="000000"/>
          <w:sz w:val="20"/>
          <w:szCs w:val="20"/>
        </w:rPr>
        <w:t xml:space="preserve">indicadores mínimos de desempenho para aceitação </w:t>
      </w:r>
      <w:r>
        <w:rPr>
          <w:rFonts w:ascii="Times New Roman" w:hAnsi="Times New Roman"/>
          <w:i/>
          <w:color w:val="000000"/>
          <w:sz w:val="20"/>
          <w:szCs w:val="20"/>
        </w:rPr>
        <w:t>do serviço ou eventual glosa.</w:t>
      </w:r>
    </w:p>
    <w:p>
      <w:pPr>
        <w:pStyle w:val="Normal"/>
        <w:ind w:hanging="0" w:left="567"/>
        <w:rPr>
          <w:rFonts w:ascii="Times New Roman" w:hAnsi="Times New Roman"/>
          <w:color w:val="000000"/>
        </w:rPr>
      </w:pPr>
      <w:r>
        <w:rPr>
          <w:rFonts w:ascii="Times New Roman" w:hAnsi="Times New Roman"/>
          <w:color w:val="000000"/>
        </w:rPr>
        <w:t>Do recebimento</w:t>
      </w:r>
    </w:p>
    <w:p>
      <w:pPr>
        <w:pStyle w:val="Normal"/>
        <w:numPr>
          <w:ilvl w:val="1"/>
          <w:numId w:val="1"/>
        </w:numPr>
        <w:ind w:hanging="0" w:left="567"/>
        <w:rPr/>
      </w:pPr>
      <w:r>
        <w:rPr>
          <w:rFonts w:ascii="Times New Roman" w:hAnsi="Times New Roman"/>
          <w:color w:val="000000"/>
          <w:lang w:eastAsia="en-US"/>
        </w:rPr>
        <w:t xml:space="preserve">Os serviços serão recebidos provisoriamente, no prazo de </w:t>
      </w:r>
      <w:r>
        <w:rPr>
          <w:rFonts w:ascii="Times New Roman" w:hAnsi="Times New Roman"/>
          <w:i/>
          <w:iCs/>
          <w:color w:val="000000"/>
          <w:lang w:eastAsia="en-US"/>
        </w:rPr>
        <w:t>10</w:t>
      </w:r>
      <w:r>
        <w:rPr>
          <w:rFonts w:ascii="Times New Roman" w:hAnsi="Times New Roman"/>
          <w:color w:val="000000"/>
          <w:lang w:eastAsia="en-US"/>
        </w:rPr>
        <w:t xml:space="preserve"> (</w:t>
      </w:r>
      <w:r>
        <w:rPr>
          <w:rFonts w:ascii="Times New Roman" w:hAnsi="Times New Roman"/>
          <w:i/>
          <w:iCs/>
          <w:color w:val="000000"/>
          <w:lang w:eastAsia="en-US"/>
        </w:rPr>
        <w:t>dez</w:t>
      </w:r>
      <w:r>
        <w:rPr>
          <w:rFonts w:ascii="Times New Roman" w:hAnsi="Times New Roman"/>
          <w:color w:val="000000"/>
          <w:lang w:eastAsia="en-US"/>
        </w:rPr>
        <w:t>) dias, pelos fiscais técnico e administrativo, mediante termos detalhados, quando verificado o cumprimento das exigências de caráter técnico e administrativo. (</w:t>
      </w:r>
      <w:r>
        <w:fldChar w:fldCharType="begin"/>
      </w:r>
      <w:r>
        <w:rPr>
          <w:rStyle w:val="ListLabel2117"/>
          <w:rFonts w:ascii="Times New Roman" w:hAnsi="Times New Roman"/>
          <w:color w:val="000000"/>
          <w:lang w:eastAsia="en-US"/>
        </w:rPr>
        <w:instrText xml:space="preserve"> HYPERLINK "http://www.planalto.gov.br/ccivil_03/_ato2019-2022/2021/lei/L14133.htm" \l "art140"</w:instrText>
      </w:r>
      <w:r>
        <w:rPr>
          <w:rStyle w:val="ListLabel2117"/>
          <w:rFonts w:ascii="Times New Roman" w:hAnsi="Times New Roman"/>
          <w:color w:val="000000"/>
          <w:lang w:eastAsia="en-US"/>
        </w:rPr>
        <w:fldChar w:fldCharType="separate"/>
      </w:r>
      <w:r>
        <w:rPr>
          <w:rStyle w:val="ListLabel2117"/>
          <w:rFonts w:ascii="Times New Roman" w:hAnsi="Times New Roman"/>
          <w:color w:val="000000"/>
          <w:lang w:eastAsia="en-US"/>
        </w:rPr>
        <w:t>Art. 140, I, a , da Lei nº 14.133</w:t>
      </w:r>
      <w:r>
        <w:rPr>
          <w:rStyle w:val="ListLabel2117"/>
          <w:rFonts w:ascii="Times New Roman" w:hAnsi="Times New Roman"/>
          <w:color w:val="000000"/>
          <w:lang w:eastAsia="en-US"/>
        </w:rPr>
        <w:fldChar w:fldCharType="end"/>
      </w:r>
      <w:r>
        <w:rPr>
          <w:rFonts w:ascii="Times New Roman" w:hAnsi="Times New Roman"/>
          <w:color w:val="000000"/>
          <w:lang w:eastAsia="en-US"/>
        </w:rPr>
        <w:t xml:space="preserve"> e </w:t>
      </w:r>
      <w:r>
        <w:fldChar w:fldCharType="begin"/>
      </w:r>
      <w:r>
        <w:rPr>
          <w:rStyle w:val="ListLabel2117"/>
          <w:rFonts w:ascii="Times New Roman" w:hAnsi="Times New Roman"/>
          <w:color w:val="000000"/>
          <w:lang w:eastAsia="en-US"/>
        </w:rPr>
        <w:instrText xml:space="preserve"> HYPERLINK "http://www.planalto.gov.br/ccivil_03/_ato2019-2022/2022/decreto/D11246.htm" \l "art22"</w:instrText>
      </w:r>
      <w:r>
        <w:rPr>
          <w:rStyle w:val="ListLabel2117"/>
          <w:rFonts w:ascii="Times New Roman" w:hAnsi="Times New Roman"/>
          <w:color w:val="000000"/>
          <w:lang w:eastAsia="en-US"/>
        </w:rPr>
        <w:fldChar w:fldCharType="separate"/>
      </w:r>
      <w:r>
        <w:rPr>
          <w:rStyle w:val="ListLabel2117"/>
          <w:rFonts w:ascii="Times New Roman" w:hAnsi="Times New Roman"/>
          <w:color w:val="000000"/>
          <w:lang w:eastAsia="en-US"/>
        </w:rPr>
        <w:t>Arts. 22, X e 23, X do Decreto nº 11.246, de 2022</w:t>
      </w:r>
      <w:r>
        <w:rPr>
          <w:rStyle w:val="ListLabel2117"/>
          <w:rFonts w:ascii="Times New Roman" w:hAnsi="Times New Roman"/>
          <w:color w:val="000000"/>
          <w:lang w:eastAsia="en-US"/>
        </w:rPr>
        <w:fldChar w:fldCharType="end"/>
      </w:r>
      <w:r>
        <w:rPr>
          <w:rFonts w:ascii="Times New Roman" w:hAnsi="Times New Roman"/>
          <w:color w:val="000000"/>
          <w:lang w:eastAsia="en-US"/>
        </w:rPr>
        <w:t>).</w:t>
      </w:r>
    </w:p>
    <w:p>
      <w:pPr>
        <w:pStyle w:val="Normal"/>
        <w:numPr>
          <w:ilvl w:val="1"/>
          <w:numId w:val="1"/>
        </w:numPr>
        <w:ind w:hanging="0" w:left="567"/>
        <w:rPr>
          <w:rFonts w:ascii="Times New Roman" w:hAnsi="Times New Roman"/>
          <w:color w:val="000000"/>
        </w:rPr>
      </w:pPr>
      <w:r>
        <w:rPr>
          <w:rFonts w:ascii="Times New Roman" w:hAnsi="Times New Roman"/>
          <w:color w:val="000000"/>
          <w:lang w:eastAsia="en-US"/>
        </w:rPr>
        <w:t>O prazo para recebimento provisório será contado do recebimento de comunicação de cobrança oriunda do Contratado com a comprovação da prestação dos serviços a que se referem a parcela a ser paga.</w:t>
      </w:r>
    </w:p>
    <w:p>
      <w:pPr>
        <w:pStyle w:val="Normal"/>
        <w:numPr>
          <w:ilvl w:val="1"/>
          <w:numId w:val="1"/>
        </w:numPr>
        <w:ind w:hanging="0" w:left="567"/>
        <w:rPr>
          <w:rFonts w:ascii="Times New Roman" w:hAnsi="Times New Roman"/>
          <w:color w:val="000000"/>
        </w:rPr>
      </w:pPr>
      <w:r>
        <w:rPr>
          <w:rFonts w:ascii="Times New Roman" w:hAnsi="Times New Roman"/>
          <w:color w:val="000000"/>
          <w:lang w:eastAsia="en-US"/>
        </w:rPr>
        <w:t>O fiscal técnico do contrato realizará o recebimento provisório do objeto do contrato mediante termo detalhado que comprove o cumprimento das exigências de caráter técnico.</w:t>
      </w:r>
    </w:p>
    <w:p>
      <w:pPr>
        <w:pStyle w:val="Normal"/>
        <w:numPr>
          <w:ilvl w:val="1"/>
          <w:numId w:val="1"/>
        </w:numPr>
        <w:ind w:hanging="0" w:left="567"/>
        <w:rPr>
          <w:rFonts w:ascii="Times New Roman" w:hAnsi="Times New Roman"/>
          <w:color w:val="000000"/>
        </w:rPr>
      </w:pPr>
      <w:r>
        <w:rPr>
          <w:rFonts w:ascii="Times New Roman" w:hAnsi="Times New Roman"/>
          <w:color w:val="000000"/>
          <w:lang w:eastAsia="en-US"/>
        </w:rPr>
        <w:t>O fiscal administrativo do contrato realizará o recebimento provisório do objeto do contrato mediante termo detalhado que comprove o cumprimento das exigências de caráter administrativo.</w:t>
      </w:r>
    </w:p>
    <w:p>
      <w:pPr>
        <w:pStyle w:val="Normal"/>
        <w:numPr>
          <w:ilvl w:val="1"/>
          <w:numId w:val="1"/>
        </w:numPr>
        <w:ind w:hanging="0" w:left="567"/>
        <w:rPr>
          <w:rFonts w:ascii="Times New Roman" w:hAnsi="Times New Roman"/>
          <w:color w:val="000000"/>
        </w:rPr>
      </w:pPr>
      <w:r>
        <w:rPr>
          <w:rFonts w:ascii="Times New Roman" w:hAnsi="Times New Roman"/>
          <w:color w:val="000000"/>
          <w:lang w:eastAsia="en-US"/>
        </w:rPr>
        <w:t>O fiscal setorial do contrato, quando houver, realizará o recebimento provisório sob o ponto de vista técnico e administrativo.</w:t>
      </w:r>
    </w:p>
    <w:p>
      <w:pPr>
        <w:pStyle w:val="Normal"/>
        <w:widowControl/>
        <w:numPr>
          <w:ilvl w:val="1"/>
          <w:numId w:val="1"/>
        </w:numPr>
        <w:suppressAutoHyphens w:val="true"/>
        <w:bidi w:val="0"/>
        <w:spacing w:lineRule="auto" w:line="276" w:before="120" w:after="120"/>
        <w:ind w:hanging="0" w:left="567"/>
        <w:jc w:val="both"/>
        <w:rPr>
          <w:rFonts w:ascii="Times New Roman" w:hAnsi="Times New Roman"/>
          <w:color w:val="000000"/>
        </w:rPr>
      </w:pPr>
      <w:r>
        <w:rPr>
          <w:rFonts w:eastAsia="Arial" w:cs="Arial" w:ascii="Times New Roman" w:hAnsi="Times New Roman"/>
          <w:color w:val="000000"/>
          <w:kern w:val="0"/>
          <w:sz w:val="20"/>
          <w:szCs w:val="20"/>
          <w:lang w:val="pt-BR" w:eastAsia="pt-BR" w:bidi="ar-SA"/>
        </w:rPr>
        <w:t>Para efeito de recebimento provisório, ao final de cada período mensal.</w:t>
      </w:r>
    </w:p>
    <w:p>
      <w:pPr>
        <w:pStyle w:val="Normal"/>
        <w:numPr>
          <w:ilvl w:val="1"/>
          <w:numId w:val="1"/>
        </w:numPr>
        <w:ind w:hanging="0" w:left="567"/>
        <w:rPr>
          <w:rFonts w:ascii="Times New Roman" w:hAnsi="Times New Roman"/>
          <w:color w:val="000000"/>
        </w:rPr>
      </w:pPr>
      <w:r>
        <w:rPr>
          <w:rFonts w:ascii="Times New Roman" w:hAnsi="Times New Roman"/>
          <w:color w:val="000000"/>
        </w:rPr>
        <w:t>Ao final de cada período/evento de faturamento:</w:t>
      </w:r>
    </w:p>
    <w:p>
      <w:pPr>
        <w:pStyle w:val="Normal"/>
        <w:numPr>
          <w:ilvl w:val="2"/>
          <w:numId w:val="159"/>
        </w:numPr>
        <w:ind w:hanging="0" w:left="567"/>
        <w:rPr>
          <w:rFonts w:ascii="Times New Roman" w:hAnsi="Times New Roman"/>
          <w:color w:val="000000"/>
        </w:rPr>
      </w:pPr>
      <w:r>
        <w:rPr>
          <w:rFonts w:ascii="Times New Roman" w:hAnsi="Times New Roman"/>
          <w:color w:val="000000"/>
        </w:rPr>
        <w:t>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p>
    <w:p>
      <w:pPr>
        <w:pStyle w:val="Normal"/>
        <w:numPr>
          <w:ilvl w:val="2"/>
          <w:numId w:val="160"/>
        </w:numPr>
        <w:ind w:hanging="0" w:left="567"/>
        <w:rPr>
          <w:rFonts w:ascii="Times New Roman" w:hAnsi="Times New Roman"/>
          <w:color w:val="000000"/>
        </w:rPr>
      </w:pPr>
      <w:r>
        <w:rPr>
          <w:rFonts w:eastAsia="" w:ascii="Times New Roman" w:hAnsi="Times New Roman" w:eastAsiaTheme="minorEastAsia"/>
          <w:i w:val="false"/>
          <w:iCs w:val="false"/>
          <w:color w:val="000000"/>
          <w:shd w:fill="auto" w:val="clear"/>
        </w:rPr>
        <w:t>o fiscal administrativo deverá verificar a efetiva realização dos dispêndios concernentes aos salários e às obrigações trabalhistas, previdenciárias e com o FGTS do mês anterior, dentre outros, emitindo relatório que será encaminhado ao gestor do contrato.</w:t>
      </w:r>
    </w:p>
    <w:p>
      <w:pPr>
        <w:pStyle w:val="Normal"/>
        <w:numPr>
          <w:ilvl w:val="1"/>
          <w:numId w:val="1"/>
        </w:numPr>
        <w:ind w:hanging="0" w:left="567"/>
        <w:rPr>
          <w:rFonts w:ascii="Times New Roman" w:hAnsi="Times New Roman"/>
          <w:color w:val="000000"/>
        </w:rPr>
      </w:pPr>
      <w:r>
        <w:rPr>
          <w:rFonts w:ascii="Times New Roman" w:hAnsi="Times New Roman"/>
          <w:color w:val="000000"/>
        </w:rPr>
        <w:t>Será considerado como ocorrido o recebimento provisório com a entrega do termo detalhado ou, em havendo mais de um a ser feito, com a entrega do último.</w:t>
      </w:r>
    </w:p>
    <w:p>
      <w:pPr>
        <w:pStyle w:val="Normal"/>
        <w:numPr>
          <w:ilvl w:val="1"/>
          <w:numId w:val="1"/>
        </w:numPr>
        <w:ind w:hanging="0" w:left="567"/>
        <w:rPr>
          <w:rFonts w:ascii="Times New Roman" w:hAnsi="Times New Roman"/>
          <w:color w:val="000000"/>
        </w:rPr>
      </w:pPr>
      <w:r>
        <w:rPr>
          <w:rFonts w:ascii="Times New Roman" w:hAnsi="Times New Roman"/>
          <w:color w:val="000000"/>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pPr>
        <w:pStyle w:val="Normal"/>
        <w:numPr>
          <w:ilvl w:val="1"/>
          <w:numId w:val="1"/>
        </w:numPr>
        <w:ind w:hanging="0" w:left="567"/>
        <w:rPr>
          <w:rFonts w:ascii="Times New Roman" w:hAnsi="Times New Roman"/>
          <w:color w:val="000000"/>
        </w:rPr>
      </w:pPr>
      <w:r>
        <w:rPr>
          <w:rFonts w:ascii="Times New Roman" w:hAnsi="Times New Roman"/>
          <w:color w:val="000000"/>
          <w:lang w:eastAsia="en-US"/>
        </w:rPr>
        <w:t>A fiscalização não efetuará o ateste da última e/ou única medição de serviços até que sejam sanadas todas as eventuais pendências que possam vir a ser apontadas no recebimento provisório.</w:t>
      </w:r>
    </w:p>
    <w:p>
      <w:pPr>
        <w:pStyle w:val="Normal"/>
        <w:widowControl/>
        <w:numPr>
          <w:ilvl w:val="1"/>
          <w:numId w:val="1"/>
        </w:numPr>
        <w:shd w:val="clear" w:color="auto" w:fill="auto"/>
        <w:suppressAutoHyphens w:val="true"/>
        <w:bidi w:val="0"/>
        <w:spacing w:lineRule="auto" w:line="276" w:before="120" w:after="120"/>
        <w:ind w:hanging="0" w:left="567"/>
        <w:jc w:val="both"/>
        <w:rPr>
          <w:rFonts w:ascii="Times New Roman" w:hAnsi="Times New Roman"/>
          <w:color w:val="000000"/>
        </w:rPr>
      </w:pPr>
      <w:r>
        <w:rPr>
          <w:rFonts w:eastAsia="Arial" w:cs="Arial" w:ascii="Times New Roman" w:hAnsi="Times New Roman"/>
          <w:i w:val="false"/>
          <w:iCs/>
          <w:color w:val="000000"/>
          <w:kern w:val="0"/>
          <w:sz w:val="20"/>
          <w:szCs w:val="20"/>
          <w:shd w:fill="auto" w:val="clear"/>
          <w:lang w:val="pt-BR" w:eastAsia="en-US" w:bidi="ar-SA"/>
        </w:rPr>
        <w:t>O recebimento provisório também ficará sujeito, quando cabível, à conclusão de todos os testes de campo e à entrega dos Manuais e Instruções exigíveis.</w:t>
      </w:r>
    </w:p>
    <w:p>
      <w:pPr>
        <w:pStyle w:val="Normal"/>
        <w:numPr>
          <w:ilvl w:val="1"/>
          <w:numId w:val="1"/>
        </w:numPr>
        <w:ind w:hanging="0" w:left="567"/>
        <w:rPr>
          <w:rFonts w:ascii="Times New Roman" w:hAnsi="Times New Roman"/>
          <w:color w:val="000000"/>
        </w:rPr>
      </w:pPr>
      <w:r>
        <w:rPr>
          <w:rFonts w:ascii="Times New Roman" w:hAnsi="Times New Roman"/>
          <w:color w:val="000000"/>
          <w:lang w:eastAsia="en-US"/>
        </w:rPr>
        <w:t>Os serviços poderão ser rejeitados, no todo ou em parte, quando em desacordo com as especificações constantes neste Termo de Referência e na proposta, sem prejuízo da aplicação das penalidades.</w:t>
      </w:r>
    </w:p>
    <w:p>
      <w:pPr>
        <w:pStyle w:val="Normal"/>
        <w:numPr>
          <w:ilvl w:val="1"/>
          <w:numId w:val="1"/>
        </w:numPr>
        <w:ind w:hanging="0" w:left="567"/>
        <w:rPr>
          <w:rFonts w:ascii="Times New Roman" w:hAnsi="Times New Roman"/>
          <w:color w:val="000000"/>
        </w:rPr>
      </w:pPr>
      <w:r>
        <w:rPr>
          <w:rFonts w:ascii="Times New Roman" w:hAnsi="Times New Roman"/>
          <w:color w:val="000000"/>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pPr>
        <w:pStyle w:val="Normal"/>
        <w:numPr>
          <w:ilvl w:val="1"/>
          <w:numId w:val="1"/>
        </w:numPr>
        <w:ind w:hanging="0" w:left="567"/>
        <w:rPr>
          <w:rFonts w:ascii="Times New Roman" w:hAnsi="Times New Roman"/>
          <w:color w:val="000000"/>
        </w:rPr>
      </w:pPr>
      <w:r>
        <w:rPr>
          <w:rFonts w:ascii="Times New Roman" w:hAnsi="Times New Roman"/>
          <w:color w:val="000000"/>
          <w:lang w:eastAsia="en-US"/>
        </w:rPr>
        <w:t xml:space="preserve">Os serviços serão recebidos definitivamente no prazo de </w:t>
      </w:r>
      <w:r>
        <w:rPr>
          <w:rFonts w:ascii="Times New Roman" w:hAnsi="Times New Roman"/>
          <w:i/>
          <w:color w:val="000000"/>
          <w:lang w:eastAsia="en-US"/>
        </w:rPr>
        <w:t>30</w:t>
      </w:r>
      <w:r>
        <w:rPr>
          <w:rFonts w:ascii="Times New Roman" w:hAnsi="Times New Roman"/>
          <w:color w:val="000000"/>
          <w:lang w:eastAsia="en-US"/>
        </w:rPr>
        <w:t xml:space="preserve"> (</w:t>
      </w:r>
      <w:r>
        <w:rPr>
          <w:rFonts w:ascii="Times New Roman" w:hAnsi="Times New Roman"/>
          <w:i/>
          <w:color w:val="000000"/>
          <w:lang w:eastAsia="en-US"/>
        </w:rPr>
        <w:t>trinta</w:t>
      </w:r>
      <w:r>
        <w:rPr>
          <w:rFonts w:ascii="Times New Roman" w:hAnsi="Times New Roman"/>
          <w:color w:val="000000"/>
          <w:lang w:eastAsia="en-US"/>
        </w:rPr>
        <w:t>) dias, contados do recebimento provisório, por servidor ou comissão designada pela autoridade competente, após a verificação da qualidade e quantidade do serviço e consequente aceitação mediante termo detalhado, obedecendo os seguintes procedimentos:</w:t>
      </w:r>
    </w:p>
    <w:p>
      <w:pPr>
        <w:pStyle w:val="Normal"/>
        <w:numPr>
          <w:ilvl w:val="2"/>
          <w:numId w:val="161"/>
        </w:numPr>
        <w:ind w:hanging="0" w:left="567"/>
        <w:rPr>
          <w:rFonts w:ascii="Times New Roman" w:hAnsi="Times New Roman"/>
          <w:color w:val="000000"/>
        </w:rPr>
      </w:pPr>
      <w:r>
        <w:rPr>
          <w:rFonts w:ascii="Times New Roman" w:hAnsi="Times New Roman"/>
          <w:color w:val="000000"/>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p>
    <w:p>
      <w:pPr>
        <w:pStyle w:val="Normal"/>
        <w:numPr>
          <w:ilvl w:val="2"/>
          <w:numId w:val="162"/>
        </w:numPr>
        <w:ind w:hanging="0" w:left="567"/>
        <w:rPr>
          <w:rFonts w:ascii="Times New Roman" w:hAnsi="Times New Roman"/>
          <w:color w:val="000000"/>
        </w:rPr>
      </w:pPr>
      <w:r>
        <w:rPr>
          <w:rFonts w:ascii="Times New Roman" w:hAnsi="Times New Roman"/>
          <w:color w:val="000000"/>
        </w:rPr>
        <w:t>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pPr>
        <w:pStyle w:val="Normal"/>
        <w:numPr>
          <w:ilvl w:val="2"/>
          <w:numId w:val="163"/>
        </w:numPr>
        <w:ind w:hanging="0" w:left="567"/>
        <w:rPr>
          <w:rFonts w:ascii="Times New Roman" w:hAnsi="Times New Roman"/>
          <w:color w:val="000000"/>
        </w:rPr>
      </w:pPr>
      <w:r>
        <w:rPr>
          <w:rFonts w:ascii="Times New Roman" w:hAnsi="Times New Roman"/>
          <w:color w:val="000000"/>
        </w:rPr>
        <w:t>Emitir Termo Detalhado para efeito de recebimento definitivo dos serviços prestados, com base nos relatórios e documentações apresentadas; e</w:t>
      </w:r>
    </w:p>
    <w:p>
      <w:pPr>
        <w:pStyle w:val="Normal"/>
        <w:numPr>
          <w:ilvl w:val="2"/>
          <w:numId w:val="164"/>
        </w:numPr>
        <w:ind w:hanging="0" w:left="567"/>
        <w:rPr>
          <w:rFonts w:ascii="Times New Roman" w:hAnsi="Times New Roman"/>
          <w:color w:val="000000"/>
        </w:rPr>
      </w:pPr>
      <w:r>
        <w:rPr>
          <w:rFonts w:ascii="Times New Roman" w:hAnsi="Times New Roman"/>
          <w:color w:val="000000"/>
        </w:rPr>
        <w:t>Comunicar a empresa para que emita a Nota Fiscal ou Fatura, com o valor exato dimensionado pela fiscalização.</w:t>
      </w:r>
    </w:p>
    <w:p>
      <w:pPr>
        <w:pStyle w:val="Normal"/>
        <w:numPr>
          <w:ilvl w:val="2"/>
          <w:numId w:val="165"/>
        </w:numPr>
        <w:ind w:hanging="0" w:left="567"/>
        <w:rPr>
          <w:rFonts w:ascii="Times New Roman" w:hAnsi="Times New Roman"/>
          <w:color w:val="000000"/>
        </w:rPr>
      </w:pPr>
      <w:r>
        <w:rPr>
          <w:rFonts w:ascii="Times New Roman" w:hAnsi="Times New Roman"/>
          <w:color w:val="000000"/>
        </w:rPr>
        <w:t>Enviar a documentação pertinente ao setor de contratos para a formalização dos procedimentos de liquidação e pagamento, no valor dimensionado pela fiscalização e gestão.</w:t>
      </w:r>
    </w:p>
    <w:p>
      <w:pPr>
        <w:pStyle w:val="Normal"/>
        <w:numPr>
          <w:ilvl w:val="1"/>
          <w:numId w:val="1"/>
        </w:numPr>
        <w:ind w:hanging="0" w:left="567"/>
        <w:rPr>
          <w:rFonts w:ascii="Times New Roman" w:hAnsi="Times New Roman"/>
          <w:color w:val="000000"/>
        </w:rPr>
      </w:pPr>
      <w:r>
        <w:rPr>
          <w:rFonts w:ascii="Times New Roman" w:hAnsi="Times New Roman"/>
          <w:color w:val="000000"/>
          <w:lang w:eastAsia="en-US"/>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pPr>
        <w:pStyle w:val="Normal"/>
        <w:numPr>
          <w:ilvl w:val="1"/>
          <w:numId w:val="1"/>
        </w:numPr>
        <w:ind w:hanging="0" w:left="567"/>
        <w:rPr>
          <w:rFonts w:ascii="Times New Roman" w:hAnsi="Times New Roman"/>
          <w:color w:val="000000"/>
        </w:rPr>
      </w:pPr>
      <w:r>
        <w:rPr>
          <w:rFonts w:ascii="Times New Roman" w:hAnsi="Times New Roman"/>
          <w:color w:val="000000"/>
          <w:lang w:eastAsia="en-US"/>
        </w:rPr>
        <w:t>Nenhum prazo de recebimento ocorrerá enquanto pendente a solução, pelo Contratado, de inconsistências verificadas na execução do objeto ou no instrumento de cobrança.</w:t>
      </w:r>
    </w:p>
    <w:p>
      <w:pPr>
        <w:pStyle w:val="Normal"/>
        <w:numPr>
          <w:ilvl w:val="1"/>
          <w:numId w:val="1"/>
        </w:numPr>
        <w:ind w:hanging="0" w:left="567"/>
        <w:rPr>
          <w:rFonts w:ascii="Times New Roman" w:hAnsi="Times New Roman"/>
          <w:color w:val="000000"/>
        </w:rPr>
      </w:pPr>
      <w:r>
        <w:rPr>
          <w:rFonts w:ascii="Times New Roman" w:hAnsi="Times New Roman"/>
          <w:color w:val="000000"/>
          <w:lang w:eastAsia="en-US"/>
        </w:rPr>
        <w:t>O recebimento provisório ou definitivo não excluirá a responsabilidade civil pela solidez e pela segurança do serviço nem a responsabilidade ético-profissional pela perfeita execução do contrato.</w:t>
      </w:r>
    </w:p>
    <w:p>
      <w:pPr>
        <w:pStyle w:val="Normal"/>
        <w:ind w:hanging="0" w:left="567"/>
        <w:rPr>
          <w:rFonts w:ascii="Times New Roman" w:hAnsi="Times New Roman"/>
          <w:color w:val="000000"/>
        </w:rPr>
      </w:pPr>
      <w:r>
        <w:rPr>
          <w:rFonts w:ascii="Times New Roman" w:hAnsi="Times New Roman"/>
          <w:color w:val="000000"/>
        </w:rPr>
        <w:t>Liquidação</w:t>
      </w:r>
    </w:p>
    <w:p>
      <w:pPr>
        <w:pStyle w:val="Normal"/>
        <w:numPr>
          <w:ilvl w:val="1"/>
          <w:numId w:val="1"/>
        </w:numPr>
        <w:ind w:hanging="0" w:left="567"/>
        <w:rPr>
          <w:rFonts w:ascii="Times New Roman" w:hAnsi="Times New Roman"/>
          <w:color w:val="000000"/>
        </w:rPr>
      </w:pPr>
      <w:r>
        <w:rPr>
          <w:rFonts w:ascii="Times New Roman" w:hAnsi="Times New Roman"/>
          <w:color w:val="000000"/>
        </w:rPr>
        <w:t>Recebida a Nota Fiscal ou documento de cobrança equivalente, correrá o prazo de dez dias úteis para fins de liquidação, na forma desta seção, prorrogáveis por igual período, nos termos do art. 7º, §3º da Instrução Normativa SEGES/ME nº 77/2022.</w:t>
      </w:r>
    </w:p>
    <w:p>
      <w:pPr>
        <w:pStyle w:val="Normal"/>
        <w:numPr>
          <w:ilvl w:val="1"/>
          <w:numId w:val="1"/>
        </w:numPr>
        <w:ind w:hanging="0" w:left="567"/>
        <w:rPr>
          <w:rFonts w:ascii="Times New Roman" w:hAnsi="Times New Roman"/>
          <w:color w:val="000000"/>
        </w:rPr>
      </w:pPr>
      <w:r>
        <w:rPr>
          <w:rFonts w:ascii="Times New Roman" w:hAnsi="Times New Roman"/>
          <w:color w:val="000000"/>
        </w:rPr>
        <w:t>O prazo de que trata o item anterior será reduzido à metade, mantendo-se a possibilidade de prorrogação, nos casos de contratações decorrentes de despesas cujos valores não ultrapassem o limite de que trata o inciso II do art. 75 da Lei nº 14.133, de 2021</w:t>
      </w:r>
    </w:p>
    <w:p>
      <w:pPr>
        <w:pStyle w:val="Normal"/>
        <w:numPr>
          <w:ilvl w:val="1"/>
          <w:numId w:val="1"/>
        </w:numPr>
        <w:ind w:hanging="0" w:left="567"/>
        <w:rPr>
          <w:rFonts w:ascii="Times New Roman" w:hAnsi="Times New Roman"/>
          <w:color w:val="000000"/>
        </w:rPr>
      </w:pPr>
      <w:r>
        <w:rPr>
          <w:rFonts w:ascii="Times New Roman" w:hAnsi="Times New Roman"/>
          <w:color w:val="000000"/>
        </w:rPr>
        <w:t>Para fins de liquidação, o setor competente deve verificar se a Nota Fiscal ou Fatura apresentada expressa os elementos necessários e essenciais do documento, tais como:</w:t>
      </w:r>
    </w:p>
    <w:p>
      <w:pPr>
        <w:pStyle w:val="Normal"/>
        <w:numPr>
          <w:ilvl w:val="0"/>
          <w:numId w:val="3"/>
        </w:numPr>
        <w:spacing w:before="120" w:after="120"/>
        <w:ind w:hanging="0" w:left="567"/>
        <w:contextualSpacing/>
        <w:jc w:val="both"/>
        <w:rPr>
          <w:rFonts w:ascii="Times New Roman" w:hAnsi="Times New Roman"/>
          <w:color w:val="000000"/>
        </w:rPr>
      </w:pPr>
      <w:r>
        <w:rPr>
          <w:rFonts w:cs="Arial" w:ascii="Times New Roman" w:hAnsi="Times New Roman"/>
          <w:color w:val="000000"/>
          <w:sz w:val="20"/>
          <w:szCs w:val="20"/>
        </w:rPr>
        <w:t>o prazo de validade;</w:t>
      </w:r>
    </w:p>
    <w:p>
      <w:pPr>
        <w:pStyle w:val="Normal"/>
        <w:numPr>
          <w:ilvl w:val="0"/>
          <w:numId w:val="3"/>
        </w:numPr>
        <w:spacing w:before="120" w:after="120"/>
        <w:ind w:hanging="0" w:left="567"/>
        <w:contextualSpacing/>
        <w:jc w:val="both"/>
        <w:rPr>
          <w:rFonts w:ascii="Times New Roman" w:hAnsi="Times New Roman"/>
          <w:color w:val="000000"/>
        </w:rPr>
      </w:pPr>
      <w:r>
        <w:rPr>
          <w:rFonts w:cs="Arial" w:ascii="Times New Roman" w:hAnsi="Times New Roman"/>
          <w:color w:val="000000"/>
          <w:sz w:val="20"/>
          <w:szCs w:val="20"/>
        </w:rPr>
        <w:t>a data da emissão;</w:t>
      </w:r>
    </w:p>
    <w:p>
      <w:pPr>
        <w:pStyle w:val="Normal"/>
        <w:numPr>
          <w:ilvl w:val="0"/>
          <w:numId w:val="3"/>
        </w:numPr>
        <w:spacing w:before="120" w:after="120"/>
        <w:ind w:hanging="0" w:left="567"/>
        <w:contextualSpacing/>
        <w:jc w:val="both"/>
        <w:rPr>
          <w:rFonts w:ascii="Times New Roman" w:hAnsi="Times New Roman"/>
          <w:color w:val="000000"/>
        </w:rPr>
      </w:pPr>
      <w:r>
        <w:rPr>
          <w:rFonts w:cs="Arial" w:ascii="Times New Roman" w:hAnsi="Times New Roman"/>
          <w:color w:val="000000"/>
          <w:sz w:val="20"/>
          <w:szCs w:val="20"/>
        </w:rPr>
        <w:t>os dados do contrato e do órgão contratante;</w:t>
      </w:r>
    </w:p>
    <w:p>
      <w:pPr>
        <w:pStyle w:val="Normal"/>
        <w:numPr>
          <w:ilvl w:val="0"/>
          <w:numId w:val="3"/>
        </w:numPr>
        <w:spacing w:before="120" w:after="120"/>
        <w:ind w:hanging="0" w:left="567"/>
        <w:contextualSpacing/>
        <w:jc w:val="both"/>
        <w:rPr>
          <w:rFonts w:ascii="Times New Roman" w:hAnsi="Times New Roman"/>
          <w:color w:val="000000"/>
        </w:rPr>
      </w:pPr>
      <w:r>
        <w:rPr>
          <w:rFonts w:cs="Arial" w:ascii="Times New Roman" w:hAnsi="Times New Roman"/>
          <w:color w:val="000000"/>
          <w:sz w:val="20"/>
          <w:szCs w:val="20"/>
        </w:rPr>
        <w:t>o período respectivo de execução do contrato;</w:t>
      </w:r>
    </w:p>
    <w:p>
      <w:pPr>
        <w:pStyle w:val="Normal"/>
        <w:numPr>
          <w:ilvl w:val="0"/>
          <w:numId w:val="3"/>
        </w:numPr>
        <w:spacing w:before="120" w:after="120"/>
        <w:ind w:hanging="0" w:left="567"/>
        <w:contextualSpacing/>
        <w:jc w:val="both"/>
        <w:rPr>
          <w:rFonts w:ascii="Times New Roman" w:hAnsi="Times New Roman"/>
          <w:color w:val="000000"/>
        </w:rPr>
      </w:pPr>
      <w:r>
        <w:rPr>
          <w:rFonts w:cs="Arial" w:ascii="Times New Roman" w:hAnsi="Times New Roman"/>
          <w:color w:val="000000"/>
          <w:sz w:val="20"/>
          <w:szCs w:val="20"/>
        </w:rPr>
        <w:t>o valor a pagar; e</w:t>
      </w:r>
    </w:p>
    <w:p>
      <w:pPr>
        <w:pStyle w:val="Normal"/>
        <w:numPr>
          <w:ilvl w:val="0"/>
          <w:numId w:val="3"/>
        </w:numPr>
        <w:spacing w:before="120" w:after="120"/>
        <w:ind w:hanging="0" w:left="567"/>
        <w:contextualSpacing/>
        <w:jc w:val="both"/>
        <w:rPr>
          <w:rFonts w:ascii="Times New Roman" w:hAnsi="Times New Roman"/>
          <w:color w:val="000000"/>
        </w:rPr>
      </w:pPr>
      <w:r>
        <w:rPr>
          <w:rFonts w:cs="Arial" w:ascii="Times New Roman" w:hAnsi="Times New Roman"/>
          <w:color w:val="000000"/>
          <w:sz w:val="20"/>
          <w:szCs w:val="20"/>
        </w:rPr>
        <w:t>eventual destaque do valor de retenções tributárias cabíveis.</w:t>
      </w:r>
    </w:p>
    <w:p>
      <w:pPr>
        <w:pStyle w:val="Normal"/>
        <w:numPr>
          <w:ilvl w:val="1"/>
          <w:numId w:val="1"/>
        </w:numPr>
        <w:ind w:hanging="0" w:left="567"/>
        <w:rPr>
          <w:rFonts w:ascii="Times New Roman" w:hAnsi="Times New Roman"/>
          <w:color w:val="000000"/>
        </w:rPr>
      </w:pPr>
      <w:r>
        <w:rPr>
          <w:rFonts w:ascii="Times New Roman" w:hAnsi="Times New Roman"/>
          <w:color w:val="000000"/>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ao Contratante.</w:t>
      </w:r>
    </w:p>
    <w:p>
      <w:pPr>
        <w:pStyle w:val="Normal"/>
        <w:numPr>
          <w:ilvl w:val="1"/>
          <w:numId w:val="1"/>
        </w:numPr>
        <w:ind w:hanging="0" w:left="567"/>
        <w:rPr>
          <w:rFonts w:ascii="Times New Roman" w:hAnsi="Times New Roman"/>
          <w:color w:val="000000"/>
        </w:rPr>
      </w:pPr>
      <w:r>
        <w:rPr>
          <w:rFonts w:ascii="Times New Roman" w:hAnsi="Times New Roman"/>
          <w:color w:val="000000"/>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pPr>
        <w:pStyle w:val="Normal"/>
        <w:numPr>
          <w:ilvl w:val="1"/>
          <w:numId w:val="1"/>
        </w:numPr>
        <w:ind w:hanging="0" w:left="567"/>
        <w:rPr>
          <w:rFonts w:ascii="Times New Roman" w:hAnsi="Times New Roman"/>
          <w:color w:val="000000"/>
        </w:rPr>
      </w:pPr>
      <w:r>
        <w:rPr>
          <w:rFonts w:ascii="Times New Roman" w:hAnsi="Times New Roman"/>
          <w:color w:val="000000"/>
        </w:rPr>
        <w:t>A Administração deverá realizar consulta ao SICAF para:</w:t>
      </w:r>
    </w:p>
    <w:p>
      <w:pPr>
        <w:pStyle w:val="Normal"/>
        <w:numPr>
          <w:ilvl w:val="2"/>
          <w:numId w:val="166"/>
        </w:numPr>
        <w:ind w:hanging="0" w:left="567"/>
        <w:rPr>
          <w:rFonts w:ascii="Times New Roman" w:hAnsi="Times New Roman"/>
          <w:color w:val="000000"/>
        </w:rPr>
      </w:pPr>
      <w:r>
        <w:rPr>
          <w:rFonts w:ascii="Times New Roman" w:hAnsi="Times New Roman"/>
          <w:color w:val="000000"/>
        </w:rPr>
        <w:t>verificar a manutenção das condições de habilitação exigidas;</w:t>
      </w:r>
    </w:p>
    <w:p>
      <w:pPr>
        <w:pStyle w:val="Normal"/>
        <w:numPr>
          <w:ilvl w:val="2"/>
          <w:numId w:val="167"/>
        </w:numPr>
        <w:ind w:hanging="0" w:left="567"/>
        <w:rPr>
          <w:rFonts w:ascii="Times New Roman" w:hAnsi="Times New Roman"/>
          <w:color w:val="000000"/>
        </w:rPr>
      </w:pPr>
      <w:r>
        <w:rPr>
          <w:rFonts w:ascii="Times New Roman" w:hAnsi="Times New Roman"/>
          <w:color w:val="000000"/>
        </w:rPr>
        <w:t>identificar possível razão que impeça a participação em licitação/contratação no âmbito do órgão ou entidade, tais como a proibição de contratar com a Administração ou com o Poder Público, bem como ocorrências impeditivas indiretas</w:t>
      </w:r>
      <w:bookmarkStart w:id="6" w:name="_Int_T4XqlsQA"/>
      <w:r>
        <w:rPr>
          <w:rFonts w:ascii="Times New Roman" w:hAnsi="Times New Roman"/>
          <w:color w:val="000000"/>
        </w:rPr>
        <w:t>.</w:t>
      </w:r>
      <w:bookmarkEnd w:id="6"/>
    </w:p>
    <w:p>
      <w:pPr>
        <w:pStyle w:val="Normal"/>
        <w:numPr>
          <w:ilvl w:val="1"/>
          <w:numId w:val="1"/>
        </w:numPr>
        <w:ind w:hanging="0" w:left="567"/>
        <w:rPr>
          <w:rFonts w:ascii="Times New Roman" w:hAnsi="Times New Roman"/>
          <w:color w:val="000000"/>
        </w:rPr>
      </w:pPr>
      <w:r>
        <w:rPr>
          <w:rFonts w:ascii="Times New Roman" w:hAnsi="Times New Roman"/>
          <w:color w:val="000000"/>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pPr>
        <w:pStyle w:val="Normal"/>
        <w:numPr>
          <w:ilvl w:val="1"/>
          <w:numId w:val="1"/>
        </w:numPr>
        <w:ind w:hanging="0" w:left="567"/>
        <w:rPr>
          <w:rFonts w:ascii="Times New Roman" w:hAnsi="Times New Roman"/>
          <w:color w:val="000000"/>
        </w:rPr>
      </w:pPr>
      <w:r>
        <w:rPr>
          <w:rFonts w:ascii="Times New Roman" w:hAnsi="Times New Roman"/>
          <w:color w:val="00000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pPr>
        <w:pStyle w:val="Normal"/>
        <w:numPr>
          <w:ilvl w:val="1"/>
          <w:numId w:val="1"/>
        </w:numPr>
        <w:ind w:hanging="0" w:left="567"/>
        <w:rPr>
          <w:rFonts w:ascii="Times New Roman" w:hAnsi="Times New Roman"/>
          <w:color w:val="000000"/>
        </w:rPr>
      </w:pPr>
      <w:r>
        <w:rPr>
          <w:rFonts w:ascii="Times New Roman" w:hAnsi="Times New Roman"/>
          <w:color w:val="000000"/>
        </w:rPr>
        <w:t>Persistindo a irregularidade, o Contratante deverá adotar as medidas necessárias à rescisão contratual nos autos do processo administrativo correspondente, assegurada ao Contratado a ampla defesa.</w:t>
      </w:r>
    </w:p>
    <w:p>
      <w:pPr>
        <w:pStyle w:val="Normal"/>
        <w:numPr>
          <w:ilvl w:val="1"/>
          <w:numId w:val="1"/>
        </w:numPr>
        <w:ind w:hanging="0" w:left="567"/>
        <w:rPr>
          <w:rFonts w:ascii="Times New Roman" w:hAnsi="Times New Roman"/>
          <w:color w:val="000000"/>
        </w:rPr>
      </w:pPr>
      <w:r>
        <w:rPr>
          <w:rFonts w:ascii="Times New Roman" w:hAnsi="Times New Roman"/>
          <w:color w:val="000000"/>
        </w:rPr>
        <w:t>Havendo a efetiva execução do objeto, os pagamentos serão realizados normalmente, até que se decida pela rescisão do contrato, caso o Contratado não regularize sua situação junto ao SICAF.</w:t>
      </w:r>
    </w:p>
    <w:p>
      <w:pPr>
        <w:pStyle w:val="Normal"/>
        <w:ind w:hanging="0" w:left="567"/>
        <w:rPr>
          <w:rFonts w:ascii="Times New Roman" w:hAnsi="Times New Roman"/>
          <w:color w:val="000000"/>
        </w:rPr>
      </w:pPr>
      <w:r>
        <w:rPr>
          <w:rFonts w:ascii="Times New Roman" w:hAnsi="Times New Roman"/>
          <w:color w:val="000000"/>
        </w:rPr>
        <w:t>Prazo de pagamento</w:t>
      </w:r>
    </w:p>
    <w:p>
      <w:pPr>
        <w:pStyle w:val="Normal"/>
        <w:numPr>
          <w:ilvl w:val="1"/>
          <w:numId w:val="1"/>
        </w:numPr>
        <w:ind w:hanging="0" w:left="567"/>
        <w:rPr>
          <w:rFonts w:ascii="Times New Roman" w:hAnsi="Times New Roman"/>
          <w:color w:val="000000"/>
        </w:rPr>
      </w:pPr>
      <w:r>
        <w:rPr>
          <w:rFonts w:ascii="Times New Roman" w:hAnsi="Times New Roman"/>
          <w:color w:val="000000"/>
        </w:rPr>
        <w:t>O pagamento será efetuado no prazo máximo de até dez dias úteis, contados da finalização da liquidação da despesa, conforme seção anterior, nos termos da Instrução Normativa SEGES/ME nº 77, de 2022.</w:t>
      </w:r>
    </w:p>
    <w:p>
      <w:pPr>
        <w:pStyle w:val="Normal"/>
        <w:numPr>
          <w:ilvl w:val="1"/>
          <w:numId w:val="1"/>
        </w:numPr>
        <w:ind w:hanging="0" w:left="567"/>
        <w:rPr/>
      </w:pPr>
      <w:r>
        <w:rPr>
          <w:rFonts w:ascii="Times New Roman" w:hAnsi="Times New Roman"/>
          <w:b w:val="false"/>
          <w:bCs w:val="false"/>
          <w:color w:val="000000"/>
        </w:rPr>
        <w:t>No caso de atraso pelo Contratante, os valores devidos ao Contratado serão atualizados monetariamente entre o termo final do prazo de pagamento até a data de sua efetiva realização, mediante aplicação do índice</w:t>
      </w:r>
      <w:r>
        <w:rPr>
          <w:rFonts w:ascii="Times New Roman" w:hAnsi="Times New Roman"/>
          <w:b w:val="false"/>
          <w:bCs w:val="false"/>
          <w:i/>
          <w:color w:val="000000"/>
        </w:rPr>
        <w:t xml:space="preserve"> </w:t>
      </w:r>
      <w:r>
        <w:rPr>
          <w:rStyle w:val="Strong"/>
          <w:rFonts w:ascii="Times New Roman" w:hAnsi="Times New Roman"/>
          <w:b w:val="false"/>
          <w:bCs w:val="false"/>
          <w:i/>
          <w:color w:val="000000"/>
        </w:rPr>
        <w:t>que favorecer a Administração,</w:t>
      </w:r>
      <w:r>
        <w:rPr>
          <w:rFonts w:ascii="Times New Roman" w:hAnsi="Times New Roman"/>
          <w:b w:val="false"/>
          <w:bCs w:val="false"/>
          <w:i/>
          <w:color w:val="000000"/>
        </w:rPr>
        <w:t xml:space="preserve"> </w:t>
      </w:r>
      <w:r>
        <w:rPr>
          <w:rFonts w:ascii="Times New Roman" w:hAnsi="Times New Roman"/>
          <w:b w:val="false"/>
          <w:bCs w:val="false"/>
          <w:color w:val="000000"/>
        </w:rPr>
        <w:t xml:space="preserve"> de correção monetária.</w:t>
      </w:r>
    </w:p>
    <w:p>
      <w:pPr>
        <w:pStyle w:val="Normal"/>
        <w:ind w:hanging="0" w:left="567"/>
        <w:rPr>
          <w:rFonts w:ascii="Times New Roman" w:hAnsi="Times New Roman"/>
          <w:color w:val="000000"/>
        </w:rPr>
      </w:pPr>
      <w:r>
        <w:rPr>
          <w:rFonts w:ascii="Times New Roman" w:hAnsi="Times New Roman"/>
          <w:color w:val="000000"/>
        </w:rPr>
        <w:t>Forma de pagamento</w:t>
      </w:r>
    </w:p>
    <w:p>
      <w:pPr>
        <w:pStyle w:val="Normal"/>
        <w:numPr>
          <w:ilvl w:val="1"/>
          <w:numId w:val="1"/>
        </w:numPr>
        <w:ind w:hanging="0" w:left="567"/>
        <w:rPr>
          <w:rFonts w:ascii="Times New Roman" w:hAnsi="Times New Roman"/>
          <w:color w:val="000000"/>
        </w:rPr>
      </w:pPr>
      <w:r>
        <w:rPr>
          <w:rFonts w:ascii="Times New Roman" w:hAnsi="Times New Roman"/>
          <w:color w:val="000000"/>
        </w:rPr>
        <w:t>O pagamento será realizado por meio de ordem bancária, para crédito em banco, agência e conta corrente indicados pelo Contratado.</w:t>
      </w:r>
    </w:p>
    <w:p>
      <w:pPr>
        <w:pStyle w:val="Normal"/>
        <w:numPr>
          <w:ilvl w:val="1"/>
          <w:numId w:val="1"/>
        </w:numPr>
        <w:ind w:hanging="0" w:left="567"/>
        <w:rPr>
          <w:rFonts w:ascii="Times New Roman" w:hAnsi="Times New Roman"/>
          <w:color w:val="000000"/>
        </w:rPr>
      </w:pPr>
      <w:r>
        <w:rPr>
          <w:rFonts w:ascii="Times New Roman" w:hAnsi="Times New Roman"/>
          <w:color w:val="000000"/>
        </w:rPr>
        <w:t>Será considerada data do pagamento o dia em que constar como emitida a ordem bancária para pagamento.</w:t>
      </w:r>
    </w:p>
    <w:p>
      <w:pPr>
        <w:pStyle w:val="Normal"/>
        <w:numPr>
          <w:ilvl w:val="1"/>
          <w:numId w:val="1"/>
        </w:numPr>
        <w:ind w:hanging="0" w:left="567"/>
        <w:rPr>
          <w:rFonts w:ascii="Times New Roman" w:hAnsi="Times New Roman"/>
          <w:color w:val="000000"/>
        </w:rPr>
      </w:pPr>
      <w:r>
        <w:rPr>
          <w:rFonts w:ascii="Times New Roman" w:hAnsi="Times New Roman"/>
          <w:color w:val="000000"/>
          <w:lang w:eastAsia="en-US"/>
        </w:rPr>
        <w:t>Quando do pagamento, será efetuada a retenção tributária prevista na legislação aplicável.</w:t>
      </w:r>
    </w:p>
    <w:p>
      <w:pPr>
        <w:pStyle w:val="Normal"/>
        <w:numPr>
          <w:ilvl w:val="2"/>
          <w:numId w:val="168"/>
        </w:numPr>
        <w:ind w:hanging="0" w:left="567"/>
        <w:rPr>
          <w:rFonts w:ascii="Times New Roman" w:hAnsi="Times New Roman"/>
          <w:color w:val="000000"/>
        </w:rPr>
      </w:pPr>
      <w:r>
        <w:rPr>
          <w:rFonts w:ascii="Times New Roman" w:hAnsi="Times New Roman"/>
          <w:color w:val="000000"/>
        </w:rPr>
        <w:t>Independentemente</w:t>
      </w:r>
      <w:r>
        <w:rPr>
          <w:rFonts w:ascii="Times New Roman" w:hAnsi="Times New Roman"/>
          <w:color w:val="000000"/>
          <w:lang w:eastAsia="en-US"/>
        </w:rPr>
        <w:t xml:space="preserve"> do percentual de tributo inserido na planilha, quando houver, serão retidos na fonte, quando da realização do pagamento, os percentuais estabelecidos na legislação vigente.</w:t>
      </w:r>
    </w:p>
    <w:p>
      <w:pPr>
        <w:pStyle w:val="Normal"/>
        <w:numPr>
          <w:ilvl w:val="1"/>
          <w:numId w:val="1"/>
        </w:numPr>
        <w:ind w:hanging="0" w:left="567"/>
        <w:rPr>
          <w:rFonts w:ascii="Times New Roman" w:hAnsi="Times New Roman"/>
          <w:color w:val="000000"/>
        </w:rPr>
      </w:pPr>
      <w:r>
        <w:rPr>
          <w:rFonts w:ascii="Times New Roman" w:hAnsi="Times New Roman"/>
          <w:color w:val="000000"/>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ind w:hanging="0" w:left="567"/>
        <w:rPr>
          <w:rFonts w:ascii="Times New Roman" w:hAnsi="Times New Roman"/>
          <w:color w:val="000000"/>
        </w:rPr>
      </w:pPr>
      <w:r>
        <w:rPr>
          <w:rFonts w:ascii="Times New Roman" w:hAnsi="Times New Roman"/>
          <w:color w:val="000000"/>
        </w:rPr>
      </w:r>
    </w:p>
    <w:p>
      <w:pPr>
        <w:pStyle w:val="Normal"/>
        <w:ind w:hanging="0" w:left="567"/>
        <w:rPr>
          <w:rFonts w:ascii="Times New Roman" w:hAnsi="Times New Roman"/>
          <w:color w:val="000000"/>
          <w:highlight w:val="none"/>
          <w:shd w:fill="auto" w:val="clear"/>
        </w:rPr>
      </w:pPr>
      <w:r>
        <w:rPr>
          <w:rFonts w:ascii="Times New Roman" w:hAnsi="Times New Roman"/>
          <w:color w:val="000000"/>
          <w:shd w:fill="auto" w:val="clear"/>
        </w:rPr>
        <w:t>Repactuação</w:t>
      </w:r>
    </w:p>
    <w:p>
      <w:pPr>
        <w:pStyle w:val="Normal"/>
        <w:numPr>
          <w:ilvl w:val="1"/>
          <w:numId w:val="1"/>
        </w:numPr>
        <w:ind w:hanging="432" w:left="567"/>
        <w:rPr>
          <w:rFonts w:ascii="Times New Roman" w:hAnsi="Times New Roman"/>
          <w:color w:val="000000"/>
          <w:highlight w:val="none"/>
          <w:shd w:fill="auto" w:val="clear"/>
        </w:rPr>
      </w:pPr>
      <w:r>
        <w:rPr>
          <w:rFonts w:ascii="Times New Roman" w:hAnsi="Times New Roman"/>
          <w:color w:val="000000"/>
          <w:shd w:fill="auto" w:val="clear"/>
        </w:rPr>
        <w:t>Os preços contratados serão repactuados para manutenção do equilíbrio econômico-financeiro, após o interregno de um ano, mediante solicitação do Contratado.</w:t>
      </w:r>
    </w:p>
    <w:p>
      <w:pPr>
        <w:pStyle w:val="Normal"/>
        <w:numPr>
          <w:ilvl w:val="1"/>
          <w:numId w:val="1"/>
        </w:numPr>
        <w:ind w:hanging="432" w:left="567"/>
        <w:rPr>
          <w:rFonts w:ascii="Times New Roman" w:hAnsi="Times New Roman"/>
          <w:color w:val="000000"/>
          <w:highlight w:val="none"/>
          <w:shd w:fill="auto" w:val="clear"/>
        </w:rPr>
      </w:pPr>
      <w:r>
        <w:rPr>
          <w:rFonts w:ascii="Times New Roman" w:hAnsi="Times New Roman"/>
          <w:color w:val="000000"/>
          <w:shd w:fill="auto" w:val="clear"/>
        </w:rPr>
        <w:t>O interregno mínimo de 1 (um) ano para a primeira repactuação será contado:</w:t>
      </w:r>
    </w:p>
    <w:p>
      <w:pPr>
        <w:pStyle w:val="Normal"/>
        <w:numPr>
          <w:ilvl w:val="2"/>
          <w:numId w:val="169"/>
        </w:numPr>
        <w:ind w:hanging="0" w:left="567"/>
        <w:rPr>
          <w:rFonts w:ascii="Times New Roman" w:hAnsi="Times New Roman"/>
          <w:color w:val="000000"/>
          <w:highlight w:val="none"/>
          <w:shd w:fill="auto" w:val="clear"/>
        </w:rPr>
      </w:pPr>
      <w:r>
        <w:rPr>
          <w:rFonts w:ascii="Times New Roman" w:hAnsi="Times New Roman"/>
          <w:iCs/>
          <w:color w:val="000000"/>
          <w:shd w:fill="auto" w:val="clear"/>
        </w:rPr>
        <w:t xml:space="preserve">Para os custos relativos à mão de obra, vinculados à data-base da categoria profissional: a partir da data de início dos efeitos financeiros do acordo, convenção ou dissídio coletivo de trabalho ao qual a proposta estiver vinculada, relativo a cada categoria profissional abrangida pelo contrato; </w:t>
      </w:r>
    </w:p>
    <w:p>
      <w:pPr>
        <w:pStyle w:val="Normal"/>
        <w:numPr>
          <w:ilvl w:val="2"/>
          <w:numId w:val="170"/>
        </w:numPr>
        <w:ind w:hanging="0" w:left="567"/>
        <w:rPr>
          <w:rFonts w:ascii="Times New Roman" w:hAnsi="Times New Roman"/>
          <w:color w:val="000000"/>
          <w:highlight w:val="none"/>
          <w:shd w:fill="auto" w:val="clear"/>
        </w:rPr>
      </w:pPr>
      <w:r>
        <w:rPr>
          <w:rFonts w:ascii="Times New Roman" w:hAnsi="Times New Roman"/>
          <w:iCs/>
          <w:color w:val="000000"/>
          <w:shd w:fill="auto" w:val="clear"/>
        </w:rPr>
        <w:t>Para os custos decorrentes do mercado: a partir da apresentação da proposta.</w:t>
      </w:r>
    </w:p>
    <w:p>
      <w:pPr>
        <w:pStyle w:val="Normal"/>
        <w:numPr>
          <w:ilvl w:val="1"/>
          <w:numId w:val="1"/>
        </w:numPr>
        <w:ind w:hanging="432" w:left="567"/>
        <w:rPr>
          <w:rFonts w:ascii="Times New Roman" w:hAnsi="Times New Roman"/>
          <w:color w:val="000000"/>
          <w:highlight w:val="none"/>
          <w:shd w:fill="auto" w:val="clear"/>
        </w:rPr>
      </w:pPr>
      <w:r>
        <w:rPr>
          <w:rFonts w:ascii="Times New Roman" w:hAnsi="Times New Roman"/>
          <w:color w:val="000000"/>
          <w:shd w:fill="auto" w:val="clear"/>
        </w:rPr>
        <w:t>Nas repactuações subsequentes à primeira, o interregno mínimo de 1 (um) ano será contado a partir da data da última repactuação correspondente à mesma parcela objeto da nova solicitação.</w:t>
      </w:r>
    </w:p>
    <w:p>
      <w:pPr>
        <w:pStyle w:val="Normal"/>
        <w:numPr>
          <w:ilvl w:val="2"/>
          <w:numId w:val="171"/>
        </w:numPr>
        <w:ind w:hanging="0" w:left="567"/>
        <w:rPr>
          <w:rFonts w:ascii="Times New Roman" w:hAnsi="Times New Roman"/>
          <w:color w:val="000000"/>
          <w:highlight w:val="none"/>
          <w:shd w:fill="auto" w:val="clear"/>
        </w:rPr>
      </w:pPr>
      <w:r>
        <w:rPr>
          <w:rFonts w:ascii="Times New Roman" w:hAnsi="Times New Roman"/>
          <w:iCs/>
          <w:color w:val="000000"/>
          <w:shd w:fill="auto" w:val="clear"/>
        </w:rPr>
        <w:t>Entende-se como última repactuação a data em que iniciados seus efeitos financeiros, independentemente daquela apostilada.</w:t>
      </w:r>
    </w:p>
    <w:p>
      <w:pPr>
        <w:pStyle w:val="Normal"/>
        <w:numPr>
          <w:ilvl w:val="1"/>
          <w:numId w:val="1"/>
        </w:numPr>
        <w:ind w:hanging="432" w:left="567"/>
        <w:rPr>
          <w:rFonts w:ascii="Times New Roman" w:hAnsi="Times New Roman"/>
          <w:color w:val="000000"/>
          <w:highlight w:val="none"/>
          <w:shd w:fill="auto" w:val="clear"/>
        </w:rPr>
      </w:pPr>
      <w:r>
        <w:rPr>
          <w:rFonts w:ascii="Times New Roman" w:hAnsi="Times New Roman"/>
          <w:color w:val="000000"/>
          <w:shd w:fill="auto" w:val="clear"/>
          <w:lang w:eastAsia="en-US"/>
        </w:rPr>
        <w:t xml:space="preserve">A repactuação poderá ser dividida em tantas parcelas quantas forem necessárias, </w:t>
      </w:r>
      <w:r>
        <w:rPr>
          <w:rFonts w:eastAsia="Times New Roman" w:ascii="Times New Roman" w:hAnsi="Times New Roman"/>
          <w:color w:val="000000"/>
          <w:shd w:fill="auto" w:val="clear"/>
        </w:rPr>
        <w:t>observado</w:t>
      </w:r>
      <w:r>
        <w:rPr>
          <w:rFonts w:ascii="Times New Roman" w:hAnsi="Times New Roman"/>
          <w:color w:val="000000"/>
          <w:shd w:fill="auto" w:val="clear"/>
          <w:lang w:eastAsia="en-US"/>
        </w:rPr>
        <w:t xml:space="preserve"> o princípio da anualidade do reajuste de preços da contratação, podendo ser </w:t>
      </w:r>
      <w:r>
        <w:rPr>
          <w:rFonts w:eastAsia="Times New Roman" w:ascii="Times New Roman" w:hAnsi="Times New Roman"/>
          <w:color w:val="000000"/>
          <w:shd w:fill="auto" w:val="clear"/>
        </w:rPr>
        <w:t>realizada</w:t>
      </w:r>
      <w:r>
        <w:rPr>
          <w:rFonts w:ascii="Times New Roman" w:hAnsi="Times New Roman"/>
          <w:color w:val="000000"/>
          <w:shd w:fill="auto" w:val="clear"/>
          <w:lang w:eastAsia="en-US"/>
        </w:rPr>
        <w:t xml:space="preserve"> em momentos distintos para discutir a variação de custos que tenham sua anualidade </w:t>
      </w:r>
      <w:r>
        <w:rPr>
          <w:rFonts w:eastAsia="Times New Roman" w:ascii="Times New Roman" w:hAnsi="Times New Roman"/>
          <w:color w:val="000000"/>
          <w:shd w:fill="auto" w:val="clear"/>
        </w:rPr>
        <w:t>resultante</w:t>
      </w:r>
      <w:r>
        <w:rPr>
          <w:rFonts w:ascii="Times New Roman" w:hAnsi="Times New Roman"/>
          <w:color w:val="000000"/>
          <w:shd w:fill="auto" w:val="clear"/>
          <w:lang w:eastAsia="en-US"/>
        </w:rPr>
        <w:t xml:space="preserve"> em datas diferenciadas, como os decorrentes de mão de </w:t>
      </w:r>
      <w:r>
        <w:rPr>
          <w:rFonts w:ascii="Times New Roman" w:hAnsi="Times New Roman"/>
          <w:color w:val="000000"/>
          <w:shd w:fill="auto" w:val="clear"/>
        </w:rPr>
        <w:t>obra</w:t>
      </w:r>
      <w:r>
        <w:rPr>
          <w:rFonts w:ascii="Times New Roman" w:hAnsi="Times New Roman"/>
          <w:color w:val="000000"/>
          <w:shd w:fill="auto" w:val="clear"/>
          <w:lang w:eastAsia="en-US"/>
        </w:rPr>
        <w:t xml:space="preserve"> e os decorrentes dos insumos necessários à execução dos serviços.</w:t>
      </w:r>
    </w:p>
    <w:p>
      <w:pPr>
        <w:pStyle w:val="Normal"/>
        <w:numPr>
          <w:ilvl w:val="1"/>
          <w:numId w:val="1"/>
        </w:numPr>
        <w:ind w:hanging="432" w:left="567"/>
        <w:rPr>
          <w:rFonts w:ascii="Times New Roman" w:hAnsi="Times New Roman"/>
          <w:color w:val="000000"/>
          <w:highlight w:val="none"/>
          <w:shd w:fill="auto" w:val="clear"/>
        </w:rPr>
      </w:pPr>
      <w:r>
        <w:rPr>
          <w:rFonts w:ascii="Times New Roman" w:hAnsi="Times New Roman"/>
          <w:color w:val="000000"/>
          <w:shd w:fill="auto" w:val="clear"/>
        </w:rPr>
        <w:t>Quando a contratação envolver mais de uma categoria profissional, a repactuação dos custos contratuais decorrentes da mão de obra poderá ser dividida em tantos quantos forem os acordos, convenções ou dissídios coletivos de trabalho das respectivas categorias.</w:t>
      </w:r>
    </w:p>
    <w:p>
      <w:pPr>
        <w:pStyle w:val="Normal"/>
        <w:numPr>
          <w:ilvl w:val="1"/>
          <w:numId w:val="1"/>
        </w:numPr>
        <w:ind w:hanging="432" w:left="567"/>
        <w:rPr>
          <w:rFonts w:ascii="Times New Roman" w:hAnsi="Times New Roman"/>
          <w:color w:val="000000"/>
          <w:highlight w:val="none"/>
          <w:shd w:fill="auto" w:val="clear"/>
        </w:rPr>
      </w:pPr>
      <w:r>
        <w:rPr>
          <w:rFonts w:ascii="Times New Roman" w:hAnsi="Times New Roman"/>
          <w:color w:val="000000"/>
          <w:shd w:fill="auto" w:val="clear"/>
        </w:rPr>
        <w:t>É vedada a inclusão, por ocasião da repactuação, de benefícios não previstos na proposta inicial, exceto quando se tornarem obrigatórios por força de lei, acordo, convenção ou dissídio coletivo de trabalho.</w:t>
      </w:r>
    </w:p>
    <w:p>
      <w:pPr>
        <w:pStyle w:val="Normal"/>
        <w:numPr>
          <w:ilvl w:val="1"/>
          <w:numId w:val="1"/>
        </w:numPr>
        <w:ind w:hanging="432" w:left="567"/>
        <w:rPr>
          <w:rFonts w:ascii="Times New Roman" w:hAnsi="Times New Roman"/>
          <w:color w:val="000000"/>
          <w:highlight w:val="none"/>
          <w:shd w:fill="auto" w:val="clear"/>
        </w:rPr>
      </w:pPr>
      <w:r>
        <w:rPr>
          <w:rFonts w:ascii="Times New Roman" w:hAnsi="Times New Roman"/>
          <w:color w:val="000000"/>
          <w:shd w:fill="auto" w:val="clear"/>
        </w:rPr>
        <w:t>Na repactuação, o Contratante não se vinculará às disposições contidas em acordos, convenções ou dissídios coletivos de trabalho que tratem de obrigações e direitos que somente se aplicam aos contratos com a Administração Pública, de matéria não trabalhista, de pagamento de participação dos trabalhadores nos lucros ou resultados do Contratado, ou que estabeleçam direitos não previstos em lei, como valores ou índices obrigatórios de encargos sociais ou previdenciários, bem como de preços para os insumos relacionados ao exercício da atividade.</w:t>
      </w:r>
    </w:p>
    <w:p>
      <w:pPr>
        <w:pStyle w:val="Normal"/>
        <w:numPr>
          <w:ilvl w:val="1"/>
          <w:numId w:val="1"/>
        </w:numPr>
        <w:ind w:hanging="432" w:left="567"/>
        <w:rPr>
          <w:rFonts w:ascii="Times New Roman" w:hAnsi="Times New Roman"/>
          <w:color w:val="000000"/>
          <w:highlight w:val="none"/>
          <w:shd w:fill="auto" w:val="clear"/>
        </w:rPr>
      </w:pPr>
      <w:r>
        <w:rPr>
          <w:rFonts w:ascii="Times New Roman" w:hAnsi="Times New Roman"/>
          <w:color w:val="000000"/>
          <w:shd w:fill="auto" w:val="clear"/>
        </w:rPr>
        <w:t>Quando a repactuação solicitada se referir aos custos da mão de obra, o Contratado efetuará a comprovação da variação dos custos por meio de Planilha de Custos e Formação de Preços, acompanhada da apresentação do novo acordo, convenção ou sentença normativa da categoria profissional abrangida pelo contrato.</w:t>
      </w:r>
    </w:p>
    <w:p>
      <w:pPr>
        <w:pStyle w:val="Normal"/>
        <w:numPr>
          <w:ilvl w:val="2"/>
          <w:numId w:val="172"/>
        </w:numPr>
        <w:ind w:hanging="0" w:left="567"/>
        <w:rPr>
          <w:rFonts w:ascii="Times New Roman" w:hAnsi="Times New Roman"/>
          <w:color w:val="000000"/>
          <w:highlight w:val="none"/>
          <w:shd w:fill="auto" w:val="clear"/>
        </w:rPr>
      </w:pPr>
      <w:r>
        <w:rPr>
          <w:rFonts w:ascii="Times New Roman" w:hAnsi="Times New Roman"/>
          <w:iCs/>
          <w:color w:val="000000"/>
          <w:shd w:fill="auto" w:val="clear"/>
        </w:rPr>
        <w:t>A repactuação para reajustamento do contrato em razão de novo Acordo, Convenção ou Dissídio Coletivo de Trabalho deve repassar integralmente o aumento de custos da mão de obra decorrente desses instrumentos.</w:t>
      </w:r>
    </w:p>
    <w:p>
      <w:pPr>
        <w:pStyle w:val="Normal"/>
        <w:numPr>
          <w:ilvl w:val="2"/>
          <w:numId w:val="173"/>
        </w:numPr>
        <w:ind w:hanging="0" w:left="567"/>
        <w:rPr>
          <w:rFonts w:ascii="Times New Roman" w:hAnsi="Times New Roman"/>
          <w:color w:val="000000"/>
          <w:highlight w:val="none"/>
          <w:shd w:fill="auto" w:val="clear"/>
        </w:rPr>
      </w:pPr>
      <w:r>
        <w:rPr>
          <w:rFonts w:ascii="Times New Roman" w:hAnsi="Times New Roman"/>
          <w:color w:val="000000"/>
          <w:shd w:fill="auto" w:val="clear"/>
        </w:rPr>
        <w:t>A repactuação dos valores do salário, do auxílio-alimentação e dos benefícios de natureza trabalhista ou social indicados neste Termo de Referência terá como base o acordo, convenção ou dissídio coletivo de trabalho ao qual a proposta estiver vinculada (ou seja, aquele instrumento apresentado pela empresa no momento da licitação) e não o instrumento paradigma.</w:t>
      </w:r>
    </w:p>
    <w:p>
      <w:pPr>
        <w:pStyle w:val="Normal"/>
        <w:numPr>
          <w:ilvl w:val="3"/>
          <w:numId w:val="174"/>
        </w:numPr>
        <w:ind w:hanging="0" w:left="567"/>
        <w:rPr>
          <w:rFonts w:ascii="Times New Roman" w:hAnsi="Times New Roman"/>
          <w:color w:val="000000"/>
          <w:highlight w:val="none"/>
          <w:shd w:fill="auto" w:val="clear"/>
        </w:rPr>
      </w:pPr>
      <w:r>
        <w:rPr>
          <w:rFonts w:ascii="Times New Roman" w:hAnsi="Times New Roman"/>
          <w:color w:val="000000"/>
          <w:shd w:fill="auto" w:val="clear"/>
        </w:rPr>
        <w:t>Os índices aplicados para aumento do salário, do auxílio-alimentação e dos benefícios de natureza trabalhista ou social indicados neste Termo de Referência serão aqueles constantes no instrumento coletivo ao qual está vinculado o Contratado, e esses índices serão aplicados sobre os valores do salário, do auxílio-alimentação e dos benefícios de natureza trabalhista ou social constantes na proposta apresentada pela empresa no momento da licitação.</w:t>
      </w:r>
    </w:p>
    <w:p>
      <w:pPr>
        <w:pStyle w:val="Normal"/>
        <w:numPr>
          <w:ilvl w:val="2"/>
          <w:numId w:val="175"/>
        </w:numPr>
        <w:ind w:hanging="0" w:left="567"/>
        <w:rPr>
          <w:rFonts w:ascii="Times New Roman" w:hAnsi="Times New Roman"/>
          <w:color w:val="000000"/>
          <w:highlight w:val="none"/>
          <w:shd w:fill="auto" w:val="clear"/>
        </w:rPr>
      </w:pPr>
      <w:r>
        <w:rPr>
          <w:rFonts w:ascii="Times New Roman" w:hAnsi="Times New Roman"/>
          <w:color w:val="000000"/>
          <w:shd w:fill="auto" w:val="clear"/>
        </w:rPr>
        <w:t>A repactuação dos demais custos relativos à mão de obra terá como base o acordo, convenção ou dissídio coletivo de trabalho ao qual a proposta estiver vinculada (ou seja, aquele instrumento apresentado pela empresa no momento da licitação).</w:t>
      </w:r>
    </w:p>
    <w:p>
      <w:pPr>
        <w:pStyle w:val="Normal"/>
        <w:numPr>
          <w:ilvl w:val="1"/>
          <w:numId w:val="1"/>
        </w:numPr>
        <w:ind w:hanging="432" w:left="567"/>
        <w:rPr>
          <w:rFonts w:ascii="Times New Roman" w:hAnsi="Times New Roman"/>
          <w:color w:val="000000"/>
          <w:highlight w:val="none"/>
          <w:shd w:fill="auto" w:val="clear"/>
        </w:rPr>
      </w:pPr>
      <w:r>
        <w:rPr>
          <w:rFonts w:ascii="Times New Roman" w:hAnsi="Times New Roman"/>
          <w:color w:val="000000"/>
          <w:shd w:fill="auto" w:val="clear"/>
        </w:rPr>
        <w:t>Quando a repactuação solicitada pelo Contratado se referir aos custos decorrentes do mercado, o respectivo aumento será apurado mediante a aplicação do índice de reajustamento [</w:t>
      </w:r>
      <w:r>
        <w:rPr>
          <w:rFonts w:ascii="Times New Roman" w:hAnsi="Times New Roman"/>
          <w:b/>
          <w:bCs/>
          <w:color w:val="000000"/>
          <w:shd w:fill="auto" w:val="clear"/>
        </w:rPr>
        <w:t>indicar o índice a ser adotado]</w:t>
      </w:r>
      <w:r>
        <w:rPr>
          <w:rFonts w:ascii="Times New Roman" w:hAnsi="Times New Roman"/>
          <w:color w:val="000000"/>
          <w:shd w:fill="auto" w:val="clear"/>
        </w:rPr>
        <w:t>, com base na seguinte fórmula:</w:t>
      </w:r>
    </w:p>
    <w:p>
      <w:pPr>
        <w:pStyle w:val="Normal"/>
        <w:spacing w:lineRule="auto" w:line="276" w:before="120" w:after="120"/>
        <w:ind w:left="567"/>
        <w:jc w:val="both"/>
        <w:rPr>
          <w:rFonts w:ascii="Times New Roman" w:hAnsi="Times New Roman"/>
          <w:color w:val="000000"/>
          <w:highlight w:val="none"/>
          <w:shd w:fill="auto" w:val="clear"/>
        </w:rPr>
      </w:pPr>
      <w:r>
        <w:rPr>
          <w:rFonts w:eastAsia="Calibri" w:cs="Arial" w:ascii="Times New Roman" w:hAnsi="Times New Roman"/>
          <w:i/>
          <w:iCs/>
          <w:color w:val="000000"/>
          <w:sz w:val="20"/>
          <w:szCs w:val="20"/>
          <w:shd w:fill="auto" w:val="clear"/>
          <w:lang w:eastAsia="en-US"/>
        </w:rPr>
        <w:t>R = V (I – Iº) / Iº, onde:</w:t>
      </w:r>
    </w:p>
    <w:p>
      <w:pPr>
        <w:pStyle w:val="Normal"/>
        <w:spacing w:lineRule="auto" w:line="276" w:before="120" w:after="120"/>
        <w:ind w:left="567"/>
        <w:jc w:val="both"/>
        <w:rPr>
          <w:rFonts w:ascii="Times New Roman" w:hAnsi="Times New Roman"/>
          <w:color w:val="000000"/>
          <w:highlight w:val="none"/>
          <w:shd w:fill="auto" w:val="clear"/>
        </w:rPr>
      </w:pPr>
      <w:r>
        <w:rPr>
          <w:rFonts w:eastAsia="Calibri" w:cs="Arial" w:ascii="Times New Roman" w:hAnsi="Times New Roman"/>
          <w:i/>
          <w:iCs/>
          <w:color w:val="000000"/>
          <w:sz w:val="20"/>
          <w:szCs w:val="20"/>
          <w:shd w:fill="auto" w:val="clear"/>
          <w:lang w:eastAsia="en-US"/>
        </w:rPr>
        <w:t>R = Valor do reajustamento procurado;</w:t>
      </w:r>
    </w:p>
    <w:p>
      <w:pPr>
        <w:pStyle w:val="Normal"/>
        <w:spacing w:lineRule="auto" w:line="276" w:before="120" w:after="120"/>
        <w:ind w:left="567"/>
        <w:jc w:val="both"/>
        <w:rPr>
          <w:rFonts w:ascii="Times New Roman" w:hAnsi="Times New Roman"/>
          <w:color w:val="000000"/>
          <w:highlight w:val="none"/>
          <w:shd w:fill="auto" w:val="clear"/>
        </w:rPr>
      </w:pPr>
      <w:r>
        <w:rPr>
          <w:rFonts w:eastAsia="Calibri" w:cs="Arial" w:ascii="Times New Roman" w:hAnsi="Times New Roman"/>
          <w:i/>
          <w:iCs/>
          <w:color w:val="000000"/>
          <w:sz w:val="20"/>
          <w:szCs w:val="20"/>
          <w:shd w:fill="auto" w:val="clear"/>
          <w:lang w:eastAsia="en-US"/>
        </w:rPr>
        <w:t xml:space="preserve">V = Valor contratual correspondente à parcela dos </w:t>
      </w:r>
      <w:r>
        <w:rPr>
          <w:rFonts w:eastAsia="Times New Roman" w:cs="Arial" w:ascii="Times New Roman" w:hAnsi="Times New Roman"/>
          <w:i/>
          <w:iCs/>
          <w:color w:val="000000"/>
          <w:sz w:val="20"/>
          <w:szCs w:val="20"/>
          <w:shd w:fill="auto" w:val="clear"/>
        </w:rPr>
        <w:t>custos decorrentes do mercado</w:t>
      </w:r>
      <w:r>
        <w:rPr>
          <w:rFonts w:eastAsia="Calibri" w:cs="Arial" w:ascii="Times New Roman" w:hAnsi="Times New Roman"/>
          <w:i/>
          <w:iCs/>
          <w:color w:val="000000"/>
          <w:sz w:val="20"/>
          <w:szCs w:val="20"/>
          <w:shd w:fill="auto" w:val="clear"/>
          <w:lang w:eastAsia="en-US"/>
        </w:rPr>
        <w:t xml:space="preserve"> a ser reajustada;</w:t>
      </w:r>
    </w:p>
    <w:p>
      <w:pPr>
        <w:pStyle w:val="Normal"/>
        <w:spacing w:lineRule="auto" w:line="276" w:before="120" w:after="120"/>
        <w:ind w:left="567"/>
        <w:jc w:val="both"/>
        <w:rPr>
          <w:rFonts w:ascii="Times New Roman" w:hAnsi="Times New Roman"/>
          <w:color w:val="000000"/>
          <w:highlight w:val="none"/>
          <w:shd w:fill="auto" w:val="clear"/>
        </w:rPr>
      </w:pPr>
      <w:r>
        <w:rPr>
          <w:rFonts w:eastAsia="Calibri" w:cs="Arial" w:ascii="Times New Roman" w:hAnsi="Times New Roman"/>
          <w:i/>
          <w:iCs/>
          <w:color w:val="000000"/>
          <w:sz w:val="20"/>
          <w:szCs w:val="20"/>
          <w:shd w:fill="auto" w:val="clear"/>
          <w:lang w:eastAsia="en-US"/>
        </w:rPr>
        <w:t>Iº = índice inicial - refere-se ao índice de custos ou de preços correspondente à data de apresentação da proposta;</w:t>
      </w:r>
    </w:p>
    <w:p>
      <w:pPr>
        <w:pStyle w:val="Normal"/>
        <w:spacing w:lineRule="auto" w:line="276" w:before="120" w:after="120"/>
        <w:ind w:left="567"/>
        <w:jc w:val="both"/>
        <w:rPr>
          <w:rFonts w:ascii="Times New Roman" w:hAnsi="Times New Roman"/>
          <w:color w:val="000000"/>
          <w:highlight w:val="none"/>
          <w:shd w:fill="auto" w:val="clear"/>
        </w:rPr>
      </w:pPr>
      <w:r>
        <w:rPr>
          <w:rFonts w:eastAsia="Calibri" w:cs="Arial" w:ascii="Times New Roman" w:hAnsi="Times New Roman"/>
          <w:i/>
          <w:iCs/>
          <w:color w:val="000000"/>
          <w:sz w:val="20"/>
          <w:szCs w:val="20"/>
          <w:shd w:fill="auto" w:val="clear"/>
          <w:lang w:eastAsia="en-US"/>
        </w:rPr>
        <w:t>I = Índice relativo ao mês do reajustamento</w:t>
      </w:r>
    </w:p>
    <w:p>
      <w:pPr>
        <w:pStyle w:val="Normal"/>
        <w:numPr>
          <w:ilvl w:val="1"/>
          <w:numId w:val="1"/>
        </w:numPr>
        <w:ind w:hanging="432" w:left="567"/>
        <w:rPr>
          <w:rFonts w:ascii="Times New Roman" w:hAnsi="Times New Roman"/>
          <w:color w:val="000000"/>
          <w:highlight w:val="none"/>
          <w:shd w:fill="auto" w:val="clear"/>
        </w:rPr>
      </w:pPr>
      <w:r>
        <w:rPr>
          <w:rFonts w:ascii="Times New Roman" w:hAnsi="Times New Roman"/>
          <w:color w:val="000000"/>
          <w:shd w:fill="auto" w:val="clear"/>
        </w:rPr>
        <w:t>No caso de atraso ou não divulgação do índice de reajustamento, o Contratante pagará ao Contratado a importância calculada pela última variação conhecida, liquidando a diferença correspondente tão logo seja divulgado o índice definitivo; fica o Contratado obrigado a apresentar memória de cálculo referente ao reajustamento de preços do valor remanescente, sempre que este ocorrer.</w:t>
      </w:r>
    </w:p>
    <w:p>
      <w:pPr>
        <w:pStyle w:val="Normal"/>
        <w:numPr>
          <w:ilvl w:val="1"/>
          <w:numId w:val="1"/>
        </w:numPr>
        <w:ind w:hanging="432" w:left="567"/>
        <w:rPr>
          <w:rFonts w:ascii="Times New Roman" w:hAnsi="Times New Roman"/>
          <w:color w:val="000000"/>
          <w:highlight w:val="none"/>
          <w:shd w:fill="auto" w:val="clear"/>
        </w:rPr>
      </w:pPr>
      <w:r>
        <w:rPr>
          <w:rFonts w:ascii="Times New Roman" w:hAnsi="Times New Roman"/>
          <w:color w:val="000000"/>
          <w:shd w:fill="auto" w:val="clear"/>
        </w:rPr>
        <w:t>Nas aferições finais, o índice utilizado para a repactuação dos custos decorrentes do mercado será, obrigatoriamente, o definitivo.</w:t>
      </w:r>
    </w:p>
    <w:p>
      <w:pPr>
        <w:pStyle w:val="Normal"/>
        <w:numPr>
          <w:ilvl w:val="1"/>
          <w:numId w:val="1"/>
        </w:numPr>
        <w:ind w:hanging="432" w:left="567"/>
        <w:rPr>
          <w:rFonts w:ascii="Times New Roman" w:hAnsi="Times New Roman"/>
          <w:color w:val="000000"/>
          <w:highlight w:val="none"/>
          <w:shd w:fill="auto" w:val="clear"/>
        </w:rPr>
      </w:pPr>
      <w:r>
        <w:rPr>
          <w:rFonts w:ascii="Times New Roman" w:hAnsi="Times New Roman"/>
          <w:color w:val="000000"/>
          <w:shd w:fill="auto" w:val="clear"/>
        </w:rPr>
        <w:t>Caso o índice estabelecido venha a ser extinto ou de qualquer forma não possa mais ser utilizado, será adotado, em substituição, o que vier a ser determinado pela legislação então em vigor.</w:t>
      </w:r>
    </w:p>
    <w:p>
      <w:pPr>
        <w:pStyle w:val="Normal"/>
        <w:numPr>
          <w:ilvl w:val="1"/>
          <w:numId w:val="1"/>
        </w:numPr>
        <w:ind w:hanging="432" w:left="567"/>
        <w:rPr>
          <w:rFonts w:ascii="Times New Roman" w:hAnsi="Times New Roman"/>
          <w:color w:val="000000"/>
          <w:highlight w:val="none"/>
          <w:shd w:fill="auto" w:val="clear"/>
        </w:rPr>
      </w:pPr>
      <w:r>
        <w:rPr>
          <w:rFonts w:ascii="Times New Roman" w:hAnsi="Times New Roman"/>
          <w:color w:val="000000"/>
          <w:shd w:fill="auto" w:val="clear"/>
        </w:rPr>
        <w:t>Na ausência de previsão legal quanto ao índice substituto, as partes elegerão novo índice oficial, para reajustamento do preço do valor remanescente dos custos decorrentes do mercado, por meio de termo aditivo.</w:t>
      </w:r>
    </w:p>
    <w:p>
      <w:pPr>
        <w:pStyle w:val="Normal"/>
        <w:numPr>
          <w:ilvl w:val="1"/>
          <w:numId w:val="1"/>
        </w:numPr>
        <w:ind w:hanging="432" w:left="567"/>
        <w:rPr>
          <w:rFonts w:ascii="Times New Roman" w:hAnsi="Times New Roman"/>
          <w:color w:val="000000"/>
          <w:highlight w:val="none"/>
          <w:shd w:fill="auto" w:val="clear"/>
        </w:rPr>
      </w:pPr>
      <w:r>
        <w:rPr>
          <w:rFonts w:ascii="Times New Roman" w:hAnsi="Times New Roman"/>
          <w:color w:val="000000"/>
          <w:shd w:fill="auto" w:val="clear"/>
        </w:rPr>
        <w:t>Independentemente do requerimento de repactuação dos custos decorrentes do mercado, o Contratante verificará, a cada anualidade, se houve deflação do índice adotado que justifique o recálculo dos custos em valor menor, promovendo, em caso positivo, a redução dos valores correspondentes da planilha contratual.</w:t>
      </w:r>
    </w:p>
    <w:p>
      <w:pPr>
        <w:pStyle w:val="Normal"/>
        <w:numPr>
          <w:ilvl w:val="1"/>
          <w:numId w:val="1"/>
        </w:numPr>
        <w:ind w:hanging="432" w:left="567"/>
        <w:rPr>
          <w:rFonts w:ascii="Times New Roman" w:hAnsi="Times New Roman"/>
          <w:color w:val="000000"/>
          <w:highlight w:val="none"/>
          <w:shd w:fill="auto" w:val="clear"/>
        </w:rPr>
      </w:pPr>
      <w:r>
        <w:rPr>
          <w:rFonts w:ascii="Times New Roman" w:hAnsi="Times New Roman"/>
          <w:color w:val="000000"/>
          <w:shd w:fill="auto" w:val="clear"/>
        </w:rPr>
        <w:t>Os efeitos financeiros da repactuação decorrente da variação dos custos contratuais de mão de obra vinculados aos acordos, às convenções ou aos dissídios coletivos de trabalho retroagirão, quando for o caso, à data do início dos efeitos financeiros do novo acordo, convenção ou sentença normativa que fundamenta a repactuação.</w:t>
      </w:r>
    </w:p>
    <w:p>
      <w:pPr>
        <w:pStyle w:val="Normal"/>
        <w:numPr>
          <w:ilvl w:val="1"/>
          <w:numId w:val="1"/>
        </w:numPr>
        <w:ind w:hanging="432" w:left="567"/>
        <w:rPr>
          <w:rFonts w:ascii="Times New Roman" w:hAnsi="Times New Roman"/>
          <w:color w:val="000000"/>
          <w:highlight w:val="none"/>
          <w:shd w:fill="auto" w:val="clear"/>
        </w:rPr>
      </w:pPr>
      <w:r>
        <w:rPr>
          <w:rFonts w:ascii="Times New Roman" w:hAnsi="Times New Roman"/>
          <w:color w:val="000000"/>
          <w:shd w:fill="auto" w:val="clear"/>
        </w:rPr>
        <w:t>Os novos valores contratuais decorrentes das repactuações poderão se iniciar em data futura, desde que assim acordado entre as partes, sem prejuízo da contagem da anualidade para concessão das repactuações futuras.</w:t>
      </w:r>
    </w:p>
    <w:p>
      <w:pPr>
        <w:pStyle w:val="Normal"/>
        <w:numPr>
          <w:ilvl w:val="1"/>
          <w:numId w:val="1"/>
        </w:numPr>
        <w:ind w:hanging="432" w:left="567"/>
        <w:rPr>
          <w:rFonts w:ascii="Times New Roman" w:hAnsi="Times New Roman"/>
          <w:color w:val="000000"/>
          <w:highlight w:val="none"/>
          <w:shd w:fill="auto" w:val="clear"/>
        </w:rPr>
      </w:pPr>
      <w:r>
        <w:rPr>
          <w:rFonts w:ascii="Times New Roman" w:hAnsi="Times New Roman"/>
          <w:color w:val="000000"/>
          <w:shd w:fill="auto" w:val="clear"/>
        </w:rPr>
        <w:t>Os efeitos financeiros da repactuação ficarão restritos exclusivamente aos itens que a motivaram, e apenas em relação à diferença porventura existente.</w:t>
      </w:r>
    </w:p>
    <w:p>
      <w:pPr>
        <w:pStyle w:val="Normal"/>
        <w:numPr>
          <w:ilvl w:val="1"/>
          <w:numId w:val="1"/>
        </w:numPr>
        <w:ind w:hanging="432" w:left="567"/>
        <w:rPr>
          <w:rFonts w:ascii="Times New Roman" w:hAnsi="Times New Roman"/>
          <w:color w:val="000000"/>
          <w:highlight w:val="none"/>
          <w:shd w:fill="auto" w:val="clear"/>
        </w:rPr>
      </w:pPr>
      <w:r>
        <w:rPr>
          <w:rFonts w:ascii="Times New Roman" w:hAnsi="Times New Roman"/>
          <w:color w:val="000000"/>
          <w:shd w:fill="auto" w:val="clear"/>
        </w:rPr>
        <w:t>O pedido de repactuação deverá ser formulado durante a vigência do contrato e antes de eventual prorrogação ou encerramento contratual, sob pena de preclusão.</w:t>
      </w:r>
    </w:p>
    <w:p>
      <w:pPr>
        <w:pStyle w:val="Normal"/>
        <w:numPr>
          <w:ilvl w:val="1"/>
          <w:numId w:val="1"/>
        </w:numPr>
        <w:ind w:hanging="432" w:left="567"/>
        <w:rPr>
          <w:rFonts w:ascii="Times New Roman" w:hAnsi="Times New Roman"/>
          <w:color w:val="000000"/>
          <w:highlight w:val="none"/>
          <w:shd w:fill="auto" w:val="clear"/>
        </w:rPr>
      </w:pPr>
      <w:r>
        <w:rPr>
          <w:rFonts w:ascii="Times New Roman" w:hAnsi="Times New Roman"/>
          <w:color w:val="000000"/>
          <w:shd w:fill="auto" w:val="clear"/>
        </w:rPr>
        <w:t>Caso, na data da prorrogação contratual, ainda não tenha sido celebrado o novo acordo, convenção ou dissídio coletivo da categoria, ou ainda não tenha sido possível ao Contratante ou ao Contratado proceder aos cálculos devidos, deverá ser inserida cláusula no termo aditivo de prorrogação para resguardar o direito futuro à repactuação, a ser exercido tão logo se disponha dos valores reajustados, sob pena de preclusão.</w:t>
      </w:r>
    </w:p>
    <w:p>
      <w:pPr>
        <w:pStyle w:val="Normal"/>
        <w:numPr>
          <w:ilvl w:val="1"/>
          <w:numId w:val="1"/>
        </w:numPr>
        <w:ind w:hanging="432" w:left="567"/>
        <w:rPr>
          <w:rFonts w:ascii="Times New Roman" w:hAnsi="Times New Roman"/>
          <w:color w:val="000000"/>
          <w:highlight w:val="none"/>
          <w:shd w:fill="auto" w:val="clear"/>
        </w:rPr>
      </w:pPr>
      <w:r>
        <w:rPr>
          <w:rFonts w:ascii="Times New Roman" w:hAnsi="Times New Roman"/>
          <w:color w:val="000000"/>
          <w:shd w:fill="auto" w:val="clear"/>
        </w:rPr>
        <w:t>A extinção do contrato não configurará óbice para o deferimento da repactuação solicitada tempestivamente, hipótese em que será concedida por meio de termo indenizatório.</w:t>
      </w:r>
    </w:p>
    <w:p>
      <w:pPr>
        <w:pStyle w:val="Normal"/>
        <w:numPr>
          <w:ilvl w:val="1"/>
          <w:numId w:val="1"/>
        </w:numPr>
        <w:ind w:hanging="432" w:left="567"/>
        <w:rPr>
          <w:rFonts w:ascii="Times New Roman" w:hAnsi="Times New Roman"/>
          <w:color w:val="000000"/>
          <w:highlight w:val="none"/>
          <w:shd w:fill="auto" w:val="clear"/>
        </w:rPr>
      </w:pPr>
      <w:r>
        <w:rPr>
          <w:rFonts w:ascii="Times New Roman" w:hAnsi="Times New Roman"/>
          <w:color w:val="000000"/>
          <w:shd w:fill="auto" w:val="clear"/>
        </w:rPr>
        <w:t>O Contratante decidirá sobre o pedido de repactuação de preços em até [</w:t>
      </w:r>
      <w:r>
        <w:rPr>
          <w:rFonts w:ascii="Times New Roman" w:hAnsi="Times New Roman"/>
          <w:b/>
          <w:bCs/>
          <w:color w:val="000000"/>
          <w:shd w:fill="auto" w:val="clear"/>
        </w:rPr>
        <w:t>indicar o prazo]</w:t>
      </w:r>
      <w:r>
        <w:rPr>
          <w:rFonts w:ascii="Times New Roman" w:hAnsi="Times New Roman"/>
          <w:color w:val="000000"/>
          <w:shd w:fill="auto" w:val="clear"/>
        </w:rPr>
        <w:t>, contado da data do fornecimento, pelo Contratado, da documentação comprobatória da variação dos custos a serem repactuados.</w:t>
      </w:r>
    </w:p>
    <w:p>
      <w:pPr>
        <w:pStyle w:val="Normal"/>
        <w:numPr>
          <w:ilvl w:val="1"/>
          <w:numId w:val="1"/>
        </w:numPr>
        <w:ind w:hanging="432" w:left="567"/>
        <w:rPr>
          <w:rFonts w:ascii="Times New Roman" w:hAnsi="Times New Roman"/>
          <w:color w:val="000000"/>
          <w:highlight w:val="none"/>
          <w:shd w:fill="auto" w:val="clear"/>
        </w:rPr>
      </w:pPr>
      <w:r>
        <w:rPr>
          <w:rFonts w:ascii="Times New Roman" w:hAnsi="Times New Roman"/>
          <w:color w:val="000000"/>
          <w:shd w:fill="auto" w:val="clear"/>
        </w:rPr>
        <w:t>O prazo referido no subitem anterior ficará suspenso enquanto o Contratado não cumprir os atos ou apresentar a documentação solicitada pelo Contratante para a comprovação da variação dos custos.</w:t>
      </w:r>
    </w:p>
    <w:p>
      <w:pPr>
        <w:pStyle w:val="Normal"/>
        <w:numPr>
          <w:ilvl w:val="1"/>
          <w:numId w:val="1"/>
        </w:numPr>
        <w:ind w:hanging="432" w:left="567"/>
        <w:rPr>
          <w:rFonts w:ascii="Times New Roman" w:hAnsi="Times New Roman"/>
          <w:color w:val="000000"/>
          <w:highlight w:val="none"/>
          <w:shd w:fill="auto" w:val="clear"/>
        </w:rPr>
      </w:pPr>
      <w:r>
        <w:rPr>
          <w:rFonts w:ascii="Times New Roman" w:hAnsi="Times New Roman"/>
          <w:color w:val="000000"/>
          <w:shd w:fill="auto" w:val="clear"/>
        </w:rPr>
        <w:t>A repactuação de preços será formalizada por apostilamento.</w:t>
      </w:r>
    </w:p>
    <w:p>
      <w:pPr>
        <w:pStyle w:val="Normal"/>
        <w:numPr>
          <w:ilvl w:val="1"/>
          <w:numId w:val="1"/>
        </w:numPr>
        <w:ind w:hanging="432" w:left="567"/>
        <w:rPr>
          <w:rFonts w:ascii="Times New Roman" w:hAnsi="Times New Roman"/>
          <w:color w:val="000000"/>
          <w:highlight w:val="none"/>
          <w:shd w:fill="auto" w:val="clear"/>
        </w:rPr>
      </w:pPr>
      <w:r>
        <w:rPr>
          <w:rFonts w:ascii="Times New Roman" w:hAnsi="Times New Roman"/>
          <w:color w:val="000000"/>
          <w:shd w:fill="auto" w:val="clear"/>
        </w:rPr>
        <w:t>As repactuações não interferem no direito das partes de solicitar, a qualquer momento, a manutenção do equilíbrio econômico dos contratos com base no disposto no art. 124, inciso II, alínea “d”, da Lei nº 14.133, de 2021.</w:t>
      </w:r>
    </w:p>
    <w:p>
      <w:pPr>
        <w:pStyle w:val="Normal"/>
        <w:numPr>
          <w:ilvl w:val="1"/>
          <w:numId w:val="1"/>
        </w:numPr>
        <w:ind w:hanging="432" w:left="567"/>
        <w:rPr>
          <w:rFonts w:ascii="Times New Roman" w:hAnsi="Times New Roman"/>
          <w:color w:val="000000"/>
          <w:highlight w:val="none"/>
          <w:shd w:fill="auto" w:val="clear"/>
        </w:rPr>
      </w:pPr>
      <w:r>
        <w:rPr>
          <w:rFonts w:ascii="Times New Roman" w:hAnsi="Times New Roman"/>
          <w:color w:val="000000"/>
          <w:shd w:fill="auto" w:val="clear"/>
        </w:rPr>
        <w:t>O Contratado deverá complementar a garantia contratual anteriormente prestada, de modo que se mantenha a proporção inicial em relação ao valor contratado.</w:t>
      </w:r>
    </w:p>
    <w:p>
      <w:pPr>
        <w:pStyle w:val="Normal"/>
        <w:numPr>
          <w:ilvl w:val="1"/>
          <w:numId w:val="1"/>
        </w:numPr>
        <w:ind w:hanging="432" w:left="567"/>
        <w:rPr>
          <w:rFonts w:ascii="Times New Roman" w:hAnsi="Times New Roman"/>
          <w:color w:val="000000"/>
          <w:highlight w:val="none"/>
          <w:shd w:fill="auto" w:val="clear"/>
        </w:rPr>
      </w:pPr>
      <w:r>
        <w:rPr>
          <w:rFonts w:ascii="Times New Roman" w:hAnsi="Times New Roman"/>
          <w:color w:val="000000"/>
          <w:shd w:fill="auto" w:val="clear"/>
        </w:rPr>
        <w:t>Caso o Contratado esteja sujeito ao regime de incidência não-cumulativa de PIS e COFINS, a comprovação das alíquotas médias efetivas de recolhimento deverá ser feita no momento da prorrogação contratual ou da repactuação de preços, a fim de que sejam promovidos os ajustes necessários decorrentes das oscilações dos custos efetivos dessas contribuições.</w:t>
      </w:r>
    </w:p>
    <w:p>
      <w:pPr>
        <w:pStyle w:val="Normal"/>
        <w:numPr>
          <w:ilvl w:val="1"/>
          <w:numId w:val="1"/>
        </w:numPr>
        <w:ind w:hanging="432" w:left="567"/>
        <w:rPr>
          <w:rFonts w:ascii="Times New Roman" w:hAnsi="Times New Roman"/>
          <w:color w:val="000000"/>
          <w:highlight w:val="none"/>
          <w:shd w:fill="auto" w:val="clear"/>
        </w:rPr>
      </w:pPr>
      <w:r>
        <w:rPr>
          <w:rFonts w:ascii="Times New Roman" w:hAnsi="Times New Roman"/>
          <w:color w:val="000000"/>
          <w:shd w:fill="auto" w:val="clear"/>
        </w:rPr>
        <w:t>A majoração da tarifa de transporte público gera a possibilidade de revisão do item relativo aos valores pagos a título de vale-transporte, constante da Planilha de Custos e Formação de Preços do presente Contrato, desde que comprovada pelo Contratado a sua efetiva repercussão sobre os preços contratados.</w:t>
      </w:r>
    </w:p>
    <w:p>
      <w:pPr>
        <w:pStyle w:val="Normal"/>
        <w:numPr>
          <w:ilvl w:val="2"/>
          <w:numId w:val="176"/>
        </w:numPr>
        <w:ind w:hanging="0" w:left="567"/>
        <w:rPr>
          <w:rFonts w:ascii="Times New Roman" w:hAnsi="Times New Roman"/>
          <w:color w:val="000000"/>
          <w:highlight w:val="none"/>
          <w:shd w:fill="auto" w:val="clear"/>
        </w:rPr>
      </w:pPr>
      <w:r>
        <w:rPr>
          <w:rFonts w:ascii="Times New Roman" w:hAnsi="Times New Roman"/>
          <w:color w:val="000000"/>
          <w:shd w:fill="auto" w:val="clear"/>
        </w:rPr>
        <w:t>A revisão dos custos relativos ao vale-transporte será formalizada por apostilamento.</w:t>
      </w:r>
    </w:p>
    <w:p>
      <w:pPr>
        <w:pStyle w:val="Normal"/>
        <w:numPr>
          <w:ilvl w:val="1"/>
          <w:numId w:val="1"/>
        </w:numPr>
        <w:ind w:hanging="432" w:left="567"/>
        <w:rPr>
          <w:color w:val="000000"/>
          <w:highlight w:val="none"/>
          <w:shd w:fill="auto" w:val="clear"/>
        </w:rPr>
      </w:pPr>
      <w:r>
        <w:rPr>
          <w:rFonts w:ascii="Times New Roman" w:hAnsi="Times New Roman"/>
          <w:color w:val="000000"/>
          <w:shd w:fill="auto" w:val="clear"/>
        </w:rPr>
        <w:t xml:space="preserve">Após o interregno de um ano, e independentemente de pedido do Contratado, os preços iniciais serão reajustados, mediante a aplicação, pelo Contratante, do </w:t>
      </w:r>
      <w:r>
        <w:rPr>
          <w:rFonts w:ascii="Times New Roman" w:hAnsi="Times New Roman"/>
          <w:b/>
          <w:bCs/>
          <w:color w:val="000000"/>
          <w:shd w:fill="auto" w:val="clear"/>
        </w:rPr>
        <w:t>menor índice disponível no momento</w:t>
      </w:r>
      <w:r>
        <w:rPr>
          <w:rFonts w:ascii="Times New Roman" w:hAnsi="Times New Roman"/>
          <w:color w:val="000000"/>
          <w:shd w:fill="auto" w:val="clear"/>
        </w:rPr>
        <w:t>, exclusivamente para as obrigações iniciadas e concluídas após a ocorrência da anualidade.</w:t>
      </w:r>
    </w:p>
    <w:p>
      <w:pPr>
        <w:pStyle w:val="Normal"/>
        <w:numPr>
          <w:ilvl w:val="1"/>
          <w:numId w:val="1"/>
        </w:numPr>
        <w:ind w:hanging="432" w:left="567"/>
        <w:rPr>
          <w:rFonts w:ascii="Times New Roman" w:hAnsi="Times New Roman"/>
          <w:color w:val="000000"/>
          <w:highlight w:val="none"/>
          <w:shd w:fill="auto" w:val="clear"/>
        </w:rPr>
      </w:pPr>
      <w:r>
        <w:rPr>
          <w:rFonts w:ascii="Times New Roman" w:hAnsi="Times New Roman"/>
          <w:color w:val="000000"/>
          <w:shd w:fill="auto" w:val="clear"/>
        </w:rPr>
        <w:t>Nos reajustes subsequentes ao primeiro, o interregno mínimo de um ano será contado a partir dos efeitos financeiros do último reajuste.</w:t>
      </w:r>
    </w:p>
    <w:p>
      <w:pPr>
        <w:pStyle w:val="Normal"/>
        <w:numPr>
          <w:ilvl w:val="1"/>
          <w:numId w:val="1"/>
        </w:numPr>
        <w:ind w:hanging="432" w:left="567"/>
        <w:rPr>
          <w:rFonts w:ascii="Times New Roman" w:hAnsi="Times New Roman"/>
          <w:color w:val="000000"/>
          <w:highlight w:val="none"/>
          <w:shd w:fill="auto" w:val="clear"/>
        </w:rPr>
      </w:pPr>
      <w:r>
        <w:rPr>
          <w:rFonts w:ascii="Times New Roman" w:hAnsi="Times New Roman"/>
          <w:color w:val="000000"/>
          <w:shd w:fill="auto" w:val="clear"/>
        </w:rPr>
        <w:t>No caso de atraso ou não divulgação do(s) índice (s) de reajustamento, o Contratante pagará ao Contratado a importância calculada pela última variação conhecida, liquidando a diferença correspondente tão logo seja(m) divulgado(s) o(s) índice(s) definitivo(s).</w:t>
      </w:r>
    </w:p>
    <w:p>
      <w:pPr>
        <w:pStyle w:val="Normal"/>
        <w:numPr>
          <w:ilvl w:val="1"/>
          <w:numId w:val="1"/>
        </w:numPr>
        <w:ind w:hanging="432" w:left="567"/>
        <w:rPr>
          <w:rFonts w:ascii="Times New Roman" w:hAnsi="Times New Roman"/>
          <w:color w:val="000000"/>
          <w:highlight w:val="none"/>
          <w:shd w:fill="auto" w:val="clear"/>
        </w:rPr>
      </w:pPr>
      <w:r>
        <w:rPr>
          <w:rFonts w:ascii="Times New Roman" w:hAnsi="Times New Roman"/>
          <w:color w:val="000000"/>
          <w:shd w:fill="auto" w:val="clear"/>
        </w:rPr>
        <w:t>Nas aferições finais, o(s) índice(s) utilizado(s) para reajuste será(ão), obrigatoriamente, o(s) definitivo(s).</w:t>
      </w:r>
    </w:p>
    <w:p>
      <w:pPr>
        <w:pStyle w:val="Normal"/>
        <w:numPr>
          <w:ilvl w:val="1"/>
          <w:numId w:val="1"/>
        </w:numPr>
        <w:ind w:hanging="432" w:left="567"/>
        <w:rPr>
          <w:rFonts w:ascii="Times New Roman" w:hAnsi="Times New Roman"/>
          <w:color w:val="000000"/>
          <w:highlight w:val="none"/>
          <w:shd w:fill="auto" w:val="clear"/>
        </w:rPr>
      </w:pPr>
      <w:r>
        <w:rPr>
          <w:rFonts w:ascii="Times New Roman" w:hAnsi="Times New Roman"/>
          <w:color w:val="000000"/>
          <w:shd w:fill="auto" w:val="clear"/>
        </w:rPr>
        <w:t>Caso o(s) índice(s) estabelecido(s) para reajustamento venha(m) a ser extinto(s) ou de qualquer forma não possa(m) mais ser utilizado(s), será(ão) adotado(s), em substituição, o(s) que vier(em) a ser determinado(s) pela legislação então em vigor.</w:t>
      </w:r>
    </w:p>
    <w:p>
      <w:pPr>
        <w:pStyle w:val="Normal"/>
        <w:numPr>
          <w:ilvl w:val="1"/>
          <w:numId w:val="1"/>
        </w:numPr>
        <w:ind w:hanging="432" w:left="567"/>
        <w:rPr>
          <w:rFonts w:ascii="Times New Roman" w:hAnsi="Times New Roman"/>
          <w:color w:val="000000"/>
          <w:highlight w:val="none"/>
          <w:shd w:fill="auto" w:val="clear"/>
        </w:rPr>
      </w:pPr>
      <w:r>
        <w:rPr>
          <w:rFonts w:ascii="Times New Roman" w:hAnsi="Times New Roman"/>
          <w:color w:val="000000"/>
          <w:shd w:fill="auto" w:val="clear"/>
        </w:rPr>
        <w:t>Na ausência de previsão legal quanto ao índice substituto, as partes elegerão novo índice oficial, para reajustamento do preço do valor remanescente, por meio de termo aditivo.</w:t>
      </w:r>
    </w:p>
    <w:p>
      <w:pPr>
        <w:pStyle w:val="Normal"/>
        <w:numPr>
          <w:ilvl w:val="1"/>
          <w:numId w:val="1"/>
        </w:numPr>
        <w:ind w:hanging="432" w:left="567"/>
        <w:rPr>
          <w:rFonts w:ascii="Times New Roman" w:hAnsi="Times New Roman"/>
          <w:color w:val="000000"/>
          <w:highlight w:val="none"/>
          <w:shd w:fill="auto" w:val="clear"/>
        </w:rPr>
      </w:pPr>
      <w:r>
        <w:rPr>
          <w:rFonts w:ascii="Times New Roman" w:hAnsi="Times New Roman"/>
          <w:color w:val="000000"/>
          <w:shd w:fill="auto" w:val="clear"/>
        </w:rPr>
        <w:t>O reajuste será realizado por apostilamento.</w:t>
      </w:r>
    </w:p>
    <w:p>
      <w:pPr>
        <w:pStyle w:val="Normal"/>
        <w:ind w:hanging="0" w:left="567"/>
        <w:rPr>
          <w:rFonts w:ascii="Times New Roman" w:hAnsi="Times New Roman"/>
          <w:color w:val="000000"/>
          <w:highlight w:val="none"/>
          <w:shd w:fill="auto" w:val="clear"/>
        </w:rPr>
      </w:pPr>
      <w:r>
        <w:rPr>
          <w:rFonts w:ascii="Times New Roman" w:hAnsi="Times New Roman"/>
          <w:color w:val="000000"/>
          <w:shd w:fill="auto" w:val="clear"/>
        </w:rPr>
        <w:t>Cessão de crédito</w:t>
      </w:r>
    </w:p>
    <w:p>
      <w:pPr>
        <w:pStyle w:val="Normal"/>
        <w:numPr>
          <w:ilvl w:val="1"/>
          <w:numId w:val="1"/>
        </w:numPr>
        <w:ind w:hanging="0" w:left="567"/>
        <w:rPr>
          <w:rFonts w:ascii="Times New Roman" w:hAnsi="Times New Roman"/>
          <w:color w:val="000000"/>
          <w:highlight w:val="none"/>
          <w:shd w:fill="auto" w:val="clear"/>
        </w:rPr>
      </w:pPr>
      <w:bookmarkStart w:id="7" w:name="_Ref154078656"/>
      <w:r>
        <w:rPr>
          <w:rFonts w:ascii="Times New Roman" w:hAnsi="Times New Roman"/>
          <w:color w:val="000000"/>
          <w:shd w:fill="auto" w:val="clear"/>
        </w:rPr>
        <w:t>É admitida a cessão fiduciária de direitos creditícios com instituição financeira, nos termos e de acordo com os procedimentos previstos na Instrução Normativa SEGES/ME nº 53, de 8 de julho de 2020, conforme as regras deste presente tópico.</w:t>
      </w:r>
      <w:bookmarkEnd w:id="7"/>
    </w:p>
    <w:p>
      <w:pPr>
        <w:pStyle w:val="Normal"/>
        <w:numPr>
          <w:ilvl w:val="1"/>
          <w:numId w:val="1"/>
        </w:numPr>
        <w:ind w:hanging="432" w:left="567"/>
        <w:rPr/>
      </w:pPr>
      <w:r>
        <w:rPr>
          <w:rFonts w:ascii="Times New Roman" w:hAnsi="Times New Roman"/>
          <w:color w:val="000000"/>
          <w:shd w:fill="auto" w:val="clear"/>
        </w:rPr>
        <w:t xml:space="preserve">As cessões de crédito </w:t>
      </w:r>
      <w:r>
        <w:rPr>
          <w:rStyle w:val="normaltextrun"/>
          <w:rFonts w:ascii="Times New Roman" w:hAnsi="Times New Roman"/>
          <w:color w:val="000000"/>
          <w:shd w:fill="auto" w:val="clear"/>
        </w:rPr>
        <w:t xml:space="preserve">não abrangidas pela Instrução Normativa SEGES/ME nº 53, de 8 de julho de 2020, </w:t>
      </w:r>
      <w:r>
        <w:rPr>
          <w:rFonts w:ascii="Times New Roman" w:hAnsi="Times New Roman"/>
          <w:color w:val="000000"/>
          <w:shd w:fill="auto" w:val="clear"/>
        </w:rPr>
        <w:t>dependerão de prévia aprovação do Contratante.</w:t>
      </w:r>
    </w:p>
    <w:p>
      <w:pPr>
        <w:pStyle w:val="Normal"/>
        <w:numPr>
          <w:ilvl w:val="1"/>
          <w:numId w:val="1"/>
        </w:numPr>
        <w:ind w:hanging="432" w:left="567"/>
        <w:rPr/>
      </w:pPr>
      <w:r>
        <w:rPr>
          <w:rFonts w:ascii="Times New Roman" w:hAnsi="Times New Roman"/>
          <w:color w:val="000000"/>
          <w:shd w:fill="auto" w:val="clear"/>
          <w:lang w:eastAsia="en-US"/>
        </w:rPr>
        <w:t xml:space="preserve">A eficácia da cessão de crédito </w:t>
      </w:r>
      <w:r>
        <w:rPr>
          <w:rStyle w:val="normaltextrun"/>
          <w:rFonts w:ascii="Times New Roman" w:hAnsi="Times New Roman"/>
          <w:color w:val="000000"/>
          <w:shd w:fill="auto" w:val="clear"/>
        </w:rPr>
        <w:t>não abrangida pela Instrução Normativa SEGES/ME nº 53, de 8 de julho de 2020</w:t>
      </w:r>
      <w:r>
        <w:rPr>
          <w:rFonts w:ascii="Times New Roman" w:hAnsi="Times New Roman"/>
          <w:color w:val="000000"/>
          <w:shd w:fill="auto" w:val="clear"/>
          <w:lang w:eastAsia="en-US"/>
        </w:rPr>
        <w:t>, em relação à Administração, está condicionada à celebração de termo</w:t>
      </w:r>
      <w:r>
        <w:rPr>
          <w:rFonts w:ascii="Times New Roman" w:hAnsi="Times New Roman"/>
          <w:color w:val="000000"/>
          <w:lang w:eastAsia="en-US"/>
        </w:rPr>
        <w:t xml:space="preserve"> aditivo ao contrato administrativo.</w:t>
      </w:r>
    </w:p>
    <w:p>
      <w:pPr>
        <w:pStyle w:val="Normal"/>
        <w:numPr>
          <w:ilvl w:val="1"/>
          <w:numId w:val="1"/>
        </w:numPr>
        <w:ind w:hanging="0" w:left="567"/>
        <w:rPr>
          <w:rFonts w:ascii="Times New Roman" w:hAnsi="Times New Roman"/>
          <w:color w:val="000000"/>
        </w:rPr>
      </w:pPr>
      <w:r>
        <w:rPr>
          <w:rFonts w:ascii="Times New Roman" w:hAnsi="Times New Roman"/>
          <w:color w:val="000000"/>
          <w:lang w:eastAsia="en-US"/>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bookmarkStart w:id="8" w:name="_Hlk114498447"/>
      <w:bookmarkEnd w:id="8"/>
    </w:p>
    <w:p>
      <w:pPr>
        <w:pStyle w:val="Normal"/>
        <w:numPr>
          <w:ilvl w:val="1"/>
          <w:numId w:val="1"/>
        </w:numPr>
        <w:ind w:hanging="0" w:left="567"/>
        <w:rPr>
          <w:rFonts w:ascii="Times New Roman" w:hAnsi="Times New Roman"/>
          <w:color w:val="000000"/>
        </w:rPr>
      </w:pPr>
      <w:r>
        <w:rPr>
          <w:rFonts w:ascii="Times New Roman" w:hAnsi="Times New Roman"/>
          <w:color w:val="000000"/>
          <w:lang w:eastAsia="en-US"/>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pPr>
        <w:pStyle w:val="Normal"/>
        <w:numPr>
          <w:ilvl w:val="1"/>
          <w:numId w:val="1"/>
        </w:numPr>
        <w:ind w:hanging="0" w:left="567"/>
        <w:rPr>
          <w:rFonts w:ascii="Times New Roman" w:hAnsi="Times New Roman" w:eastAsia="" w:eastAsiaTheme="minorEastAsia"/>
          <w:color w:val="000000"/>
          <w:highlight w:val="none"/>
          <w:shd w:fill="auto" w:val="clear"/>
        </w:rPr>
      </w:pPr>
      <w:r>
        <w:rPr>
          <w:rFonts w:eastAsia="" w:ascii="Times New Roman" w:hAnsi="Times New Roman" w:eastAsiaTheme="minorEastAsia"/>
          <w:color w:val="000000"/>
          <w:shd w:fill="auto" w:val="clear"/>
          <w:lang w:eastAsia="en-US"/>
        </w:rPr>
        <w:t>A cessão de crédito não afetará a execução do objeto contratado, que continuará sob a integral responsabilidade do Contratado.</w:t>
      </w:r>
    </w:p>
    <w:p>
      <w:pPr>
        <w:pStyle w:val="Normal"/>
        <w:ind w:hanging="0" w:left="567"/>
        <w:rPr>
          <w:rFonts w:ascii="Times New Roman" w:hAnsi="Times New Roman" w:eastAsia="" w:eastAsiaTheme="minorEastAsia"/>
          <w:color w:val="000000"/>
          <w:highlight w:val="none"/>
          <w:shd w:fill="auto" w:val="clear"/>
        </w:rPr>
      </w:pPr>
      <w:r>
        <w:rPr>
          <w:rFonts w:eastAsia="" w:ascii="Times New Roman" w:hAnsi="Times New Roman" w:eastAsiaTheme="minorEastAsia"/>
          <w:color w:val="000000"/>
          <w:shd w:fill="auto" w:val="clear"/>
        </w:rPr>
        <w:t>Conta-Depósito Vinculada ou Pagamento por Fato Gerador</w:t>
      </w:r>
    </w:p>
    <w:p>
      <w:pPr>
        <w:pStyle w:val="Normal"/>
        <w:ind w:hanging="0" w:left="567"/>
        <w:rPr>
          <w:rFonts w:ascii="Times New Roman" w:hAnsi="Times New Roman" w:eastAsia="" w:eastAsiaTheme="minorEastAsia"/>
          <w:color w:val="000000"/>
          <w:highlight w:val="none"/>
          <w:shd w:fill="auto" w:val="clear"/>
        </w:rPr>
      </w:pPr>
      <w:r>
        <w:rPr>
          <w:rFonts w:eastAsia="" w:ascii="Times New Roman" w:hAnsi="Times New Roman" w:eastAsiaTheme="minorEastAsia"/>
          <w:color w:val="000000"/>
          <w:shd w:fill="auto" w:val="clear"/>
        </w:rPr>
        <w:t>Conta-Depósito Vinculada</w:t>
      </w:r>
    </w:p>
    <w:p>
      <w:pPr>
        <w:pStyle w:val="Normal"/>
        <w:numPr>
          <w:ilvl w:val="1"/>
          <w:numId w:val="1"/>
        </w:numPr>
        <w:ind w:hanging="432" w:left="567"/>
        <w:rPr>
          <w:rFonts w:ascii="Times New Roman" w:hAnsi="Times New Roman" w:eastAsia="" w:eastAsiaTheme="minorEastAsia"/>
          <w:color w:val="000000"/>
          <w:highlight w:val="none"/>
          <w:shd w:fill="auto" w:val="clear"/>
        </w:rPr>
      </w:pPr>
      <w:r>
        <w:rPr>
          <w:rFonts w:eastAsia="" w:ascii="Times New Roman" w:hAnsi="Times New Roman" w:eastAsiaTheme="minorEastAsia"/>
          <w:color w:val="000000"/>
          <w:shd w:fill="auto" w:val="clear"/>
        </w:rPr>
        <w:t>Para tratamento do risco de descumprimento das obrigações trabalhistas, previdenciárias e com FGTS por parte do Contratado, as regras acerca da Conta-Depósito Vinculada a que se refere o Anexo XII da IN SEGES/MP n. 05/2017, aplicável por força do art. 1º da IN SEGES/ME nº 98, de 2022, são as estabelecidas neste Termo de Referência.</w:t>
      </w:r>
    </w:p>
    <w:p>
      <w:pPr>
        <w:pStyle w:val="Normal"/>
        <w:numPr>
          <w:ilvl w:val="1"/>
          <w:numId w:val="1"/>
        </w:numPr>
        <w:ind w:hanging="432" w:left="567"/>
        <w:rPr>
          <w:rFonts w:ascii="Times New Roman" w:hAnsi="Times New Roman" w:eastAsia="" w:eastAsiaTheme="minorEastAsia"/>
          <w:color w:val="000000"/>
          <w:highlight w:val="none"/>
          <w:shd w:fill="auto" w:val="clear"/>
        </w:rPr>
      </w:pPr>
      <w:r>
        <w:rPr>
          <w:rFonts w:eastAsia="" w:ascii="Times New Roman" w:hAnsi="Times New Roman" w:eastAsiaTheme="minorEastAsia"/>
          <w:color w:val="000000"/>
          <w:shd w:fill="auto" w:val="clear"/>
        </w:rPr>
        <w:t>Na presente contratação, a conta-depósito vinculada é isenta de tarifas bancárias.</w:t>
      </w:r>
    </w:p>
    <w:p>
      <w:pPr>
        <w:pStyle w:val="Normal"/>
        <w:numPr>
          <w:ilvl w:val="1"/>
          <w:numId w:val="1"/>
        </w:numPr>
        <w:ind w:hanging="432" w:left="567"/>
        <w:rPr>
          <w:rFonts w:ascii="Times New Roman" w:hAnsi="Times New Roman" w:eastAsia="" w:eastAsiaTheme="minorEastAsia"/>
          <w:color w:val="000000"/>
          <w:highlight w:val="none"/>
          <w:shd w:fill="auto" w:val="clear"/>
        </w:rPr>
      </w:pPr>
      <w:r>
        <w:rPr>
          <w:rFonts w:eastAsia="" w:ascii="Times New Roman" w:hAnsi="Times New Roman" w:eastAsiaTheme="minorEastAsia"/>
          <w:color w:val="000000"/>
          <w:shd w:fill="auto" w:val="clear"/>
        </w:rPr>
        <w:t xml:space="preserve">O futuro Contratado deve autorizar a Administração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 </w:t>
      </w:r>
    </w:p>
    <w:p>
      <w:pPr>
        <w:pStyle w:val="Normal"/>
        <w:numPr>
          <w:ilvl w:val="1"/>
          <w:numId w:val="1"/>
        </w:numPr>
        <w:ind w:hanging="432" w:left="567"/>
        <w:rPr>
          <w:rFonts w:ascii="Times New Roman" w:hAnsi="Times New Roman" w:eastAsia="" w:eastAsiaTheme="minorEastAsia"/>
          <w:color w:val="000000"/>
          <w:highlight w:val="none"/>
          <w:shd w:fill="auto" w:val="clear"/>
        </w:rPr>
      </w:pPr>
      <w:r>
        <w:rPr>
          <w:rFonts w:eastAsia="" w:ascii="Times New Roman" w:hAnsi="Times New Roman" w:eastAsiaTheme="minorEastAsia"/>
          <w:color w:val="000000"/>
          <w:shd w:fill="auto" w:val="clear"/>
        </w:rPr>
        <w:t>Quando não for possível a realização desses pagamentos pela própria Administração (ex.: por falta da documentação pertinente, tais como folha de pagamento, rescisões dos contratos e guias de recolhimento), os valores retidos cautelarmente serão depositados junto à Justiça do Trabalho, com o objetivo de serem utilizados exclusivamente no pagamento de salários e das demais verbas trabalhistas, bem como das contribuições sociais e FGTS decorrentes.</w:t>
      </w:r>
    </w:p>
    <w:p>
      <w:pPr>
        <w:pStyle w:val="Normal"/>
        <w:numPr>
          <w:ilvl w:val="1"/>
          <w:numId w:val="1"/>
        </w:numPr>
        <w:ind w:hanging="432" w:left="567"/>
        <w:rPr>
          <w:rFonts w:ascii="Times New Roman" w:hAnsi="Times New Roman" w:eastAsia="" w:eastAsiaTheme="minorEastAsia"/>
          <w:color w:val="000000"/>
          <w:highlight w:val="none"/>
          <w:shd w:fill="auto" w:val="clear"/>
        </w:rPr>
      </w:pPr>
      <w:r>
        <w:rPr>
          <w:rFonts w:eastAsia="" w:ascii="Times New Roman" w:hAnsi="Times New Roman" w:eastAsiaTheme="minorEastAsia"/>
          <w:color w:val="000000"/>
          <w:shd w:fill="auto" w:val="clear"/>
        </w:rPr>
        <w:t>O Contratado autorizará o provisionamento de valores para o pagamento das férias, 13º salário e rescisão contratual dos trabalhadores alocados à execução do contrato, bem como de suas repercussões trabalhistas, fundiárias e previdenciárias, que serão depositados pelo Contratante em conta-depósito vinculada específica, em nome do prestador dos serviços, bloqueada para movimentação, e que somente serão liberados para o pagamento direto dessas verbas aos trabalhadores, nas condições estabelecidas no item 1.5 do anexo VII-B da IN SEGES/MP n. 5/2017.</w:t>
      </w:r>
    </w:p>
    <w:p>
      <w:pPr>
        <w:pStyle w:val="Normal"/>
        <w:numPr>
          <w:ilvl w:val="1"/>
          <w:numId w:val="1"/>
        </w:numPr>
        <w:ind w:hanging="432" w:left="567"/>
        <w:rPr>
          <w:rFonts w:ascii="Times New Roman" w:hAnsi="Times New Roman" w:eastAsia="" w:eastAsiaTheme="minorEastAsia"/>
          <w:color w:val="000000"/>
          <w:highlight w:val="none"/>
          <w:shd w:fill="auto" w:val="clear"/>
        </w:rPr>
      </w:pPr>
      <w:r>
        <w:rPr>
          <w:rFonts w:eastAsia="" w:ascii="Times New Roman" w:hAnsi="Times New Roman" w:eastAsiaTheme="minorEastAsia"/>
          <w:color w:val="000000"/>
          <w:shd w:fill="auto" w:val="clear"/>
        </w:rPr>
        <w:t>O montante dos depósitos da conta vinculada, conforme item 2 do Anexo XII da IN SEGES/MP n. 5/2017 será igual ao somatório dos valores das provisões a seguir discriminadas, incidentes sobre a remuneração, cuja movimentação dependerá de autorização do órgão ou entidade promotora da contratação e será feita exclusivamente para o pagamento das respectivas obrigações:</w:t>
      </w:r>
    </w:p>
    <w:p>
      <w:pPr>
        <w:pStyle w:val="Normal"/>
        <w:numPr>
          <w:ilvl w:val="2"/>
          <w:numId w:val="177"/>
        </w:numPr>
        <w:ind w:hanging="0" w:left="567"/>
        <w:rPr>
          <w:rFonts w:ascii="Times New Roman" w:hAnsi="Times New Roman" w:eastAsia="" w:eastAsiaTheme="minorEastAsia"/>
          <w:color w:val="000000"/>
          <w:highlight w:val="none"/>
          <w:shd w:fill="auto" w:val="clear"/>
        </w:rPr>
      </w:pPr>
      <w:r>
        <w:rPr>
          <w:rFonts w:eastAsia="" w:ascii="Times New Roman" w:hAnsi="Times New Roman" w:eastAsiaTheme="minorEastAsia"/>
          <w:color w:val="000000"/>
          <w:shd w:fill="auto" w:val="clear"/>
        </w:rPr>
        <w:t>13º (décimo terceiro) salário;</w:t>
      </w:r>
    </w:p>
    <w:p>
      <w:pPr>
        <w:pStyle w:val="Normal"/>
        <w:numPr>
          <w:ilvl w:val="2"/>
          <w:numId w:val="178"/>
        </w:numPr>
        <w:ind w:hanging="0" w:left="567"/>
        <w:rPr>
          <w:rFonts w:ascii="Times New Roman" w:hAnsi="Times New Roman" w:eastAsia="" w:eastAsiaTheme="minorEastAsia"/>
          <w:color w:val="000000"/>
          <w:highlight w:val="none"/>
          <w:shd w:fill="auto" w:val="clear"/>
        </w:rPr>
      </w:pPr>
      <w:r>
        <w:rPr>
          <w:rFonts w:eastAsia="" w:ascii="Times New Roman" w:hAnsi="Times New Roman" w:eastAsiaTheme="minorEastAsia"/>
          <w:color w:val="000000"/>
          <w:shd w:fill="auto" w:val="clear"/>
        </w:rPr>
        <w:t>Férias e um terço constitucional de férias;</w:t>
      </w:r>
    </w:p>
    <w:p>
      <w:pPr>
        <w:pStyle w:val="Normal"/>
        <w:numPr>
          <w:ilvl w:val="2"/>
          <w:numId w:val="179"/>
        </w:numPr>
        <w:ind w:hanging="0" w:left="567"/>
        <w:rPr>
          <w:rFonts w:ascii="Times New Roman" w:hAnsi="Times New Roman"/>
          <w:color w:val="000000"/>
          <w:highlight w:val="none"/>
          <w:shd w:fill="auto" w:val="clear"/>
        </w:rPr>
      </w:pPr>
      <w:r>
        <w:rPr>
          <w:rFonts w:ascii="Times New Roman" w:hAnsi="Times New Roman"/>
          <w:color w:val="000000"/>
          <w:shd w:fill="auto" w:val="clear"/>
        </w:rPr>
        <w:t>Multa sobre o FGTS; e</w:t>
      </w:r>
    </w:p>
    <w:p>
      <w:pPr>
        <w:pStyle w:val="Normal"/>
        <w:numPr>
          <w:ilvl w:val="2"/>
          <w:numId w:val="180"/>
        </w:numPr>
        <w:ind w:hanging="0" w:left="567"/>
        <w:rPr>
          <w:rFonts w:ascii="Times New Roman" w:hAnsi="Times New Roman"/>
          <w:color w:val="000000"/>
          <w:highlight w:val="none"/>
          <w:shd w:fill="auto" w:val="clear"/>
        </w:rPr>
      </w:pPr>
      <w:r>
        <w:rPr>
          <w:rFonts w:ascii="Times New Roman" w:hAnsi="Times New Roman"/>
          <w:color w:val="000000"/>
          <w:shd w:fill="auto" w:val="clear"/>
        </w:rPr>
        <w:t>Encargos sobre férias e 13º (décimo terceiro) salário.</w:t>
      </w:r>
    </w:p>
    <w:p>
      <w:pPr>
        <w:pStyle w:val="Normal"/>
        <w:numPr>
          <w:ilvl w:val="1"/>
          <w:numId w:val="1"/>
        </w:numPr>
        <w:ind w:hanging="432" w:left="567"/>
        <w:rPr>
          <w:rFonts w:ascii="Times New Roman" w:hAnsi="Times New Roman"/>
          <w:color w:val="000000"/>
          <w:highlight w:val="none"/>
          <w:shd w:fill="auto" w:val="clear"/>
        </w:rPr>
      </w:pPr>
      <w:r>
        <w:rPr>
          <w:rFonts w:ascii="Times New Roman" w:hAnsi="Times New Roman"/>
          <w:color w:val="000000"/>
          <w:shd w:fill="auto" w:val="clear"/>
        </w:rPr>
        <w:t>Os percentuais de provisionamento e a forma de cálculo serão aqueles indicados no Anexo XII da IN SEGES/MP n. 5/2017.</w:t>
      </w:r>
    </w:p>
    <w:p>
      <w:pPr>
        <w:pStyle w:val="Normal"/>
        <w:numPr>
          <w:ilvl w:val="1"/>
          <w:numId w:val="1"/>
        </w:numPr>
        <w:ind w:hanging="432" w:left="567"/>
        <w:rPr>
          <w:rFonts w:ascii="Times New Roman" w:hAnsi="Times New Roman"/>
          <w:color w:val="000000"/>
          <w:highlight w:val="none"/>
          <w:shd w:fill="auto" w:val="clear"/>
        </w:rPr>
      </w:pPr>
      <w:r>
        <w:rPr>
          <w:rFonts w:ascii="Times New Roman" w:hAnsi="Times New Roman"/>
          <w:color w:val="000000"/>
          <w:shd w:fill="auto" w:val="clear"/>
        </w:rPr>
        <w:t>O saldo da conta-depósito será remunerado pelo índice de correção da poupança pro rata die, conforme definido em Termo de Cooperação Técnica firmado entre o promotor desta contratação e instituição financeira. Eventual alteração da forma de correção implicará a revisão do Termo de Cooperação Técnica.</w:t>
      </w:r>
    </w:p>
    <w:p>
      <w:pPr>
        <w:pStyle w:val="Normal"/>
        <w:numPr>
          <w:ilvl w:val="1"/>
          <w:numId w:val="1"/>
        </w:numPr>
        <w:ind w:hanging="432" w:left="567"/>
        <w:rPr>
          <w:rFonts w:ascii="Times New Roman" w:hAnsi="Times New Roman"/>
          <w:color w:val="000000"/>
          <w:highlight w:val="none"/>
          <w:shd w:fill="auto" w:val="clear"/>
        </w:rPr>
      </w:pPr>
      <w:r>
        <w:rPr>
          <w:rFonts w:ascii="Times New Roman" w:hAnsi="Times New Roman"/>
          <w:color w:val="000000"/>
          <w:shd w:fill="auto" w:val="clear"/>
        </w:rPr>
        <w:t>Os valores referentes às provisões mencionadas neste edital Termo de Referência que sejam retidos por meio da conta-depósito deixarão de compor o valor mensal a ser pago diretamente à empresa que vier a prestar os serviços.</w:t>
      </w:r>
    </w:p>
    <w:p>
      <w:pPr>
        <w:pStyle w:val="Normal"/>
        <w:numPr>
          <w:ilvl w:val="1"/>
          <w:numId w:val="1"/>
        </w:numPr>
        <w:ind w:hanging="432" w:left="567"/>
        <w:rPr>
          <w:rFonts w:ascii="Times New Roman" w:hAnsi="Times New Roman"/>
          <w:color w:val="000000"/>
          <w:highlight w:val="none"/>
          <w:shd w:fill="auto" w:val="clear"/>
        </w:rPr>
      </w:pPr>
      <w:r>
        <w:rPr>
          <w:rFonts w:ascii="Times New Roman" w:hAnsi="Times New Roman"/>
          <w:color w:val="000000"/>
          <w:shd w:fill="auto" w:val="clear"/>
        </w:rPr>
        <w:t>O Contratado poderá solicitar a autorização do órgão ou entidade contratante para utilizar os valores da conta-depósito para o pagamento dos encargos trabalhistas previstos nos subitens acima ou de eventuais indenizações trabalhistas aos empregados, decorrentes de situações ocorridas durante a vigência do contrato.</w:t>
      </w:r>
    </w:p>
    <w:p>
      <w:pPr>
        <w:pStyle w:val="Normal"/>
        <w:numPr>
          <w:ilvl w:val="1"/>
          <w:numId w:val="1"/>
        </w:numPr>
        <w:ind w:hanging="432" w:left="567"/>
        <w:rPr>
          <w:rFonts w:ascii="Times New Roman" w:hAnsi="Times New Roman"/>
          <w:color w:val="000000"/>
          <w:highlight w:val="none"/>
          <w:shd w:fill="auto" w:val="clear"/>
        </w:rPr>
      </w:pPr>
      <w:r>
        <w:rPr>
          <w:rFonts w:ascii="Times New Roman" w:hAnsi="Times New Roman"/>
          <w:color w:val="000000"/>
          <w:shd w:fill="auto" w:val="clear"/>
        </w:rPr>
        <w:t>Na situação do subitem acima, a empresa deverá apresentar os documentos comprobatórios da ocorrência das obrigações trabalhistas e seus respectivos prazos de vencimento. Somente após a confirmação da ocorrência da situação pela Administração, será expedida a autorização para a movimentação dos recursos creditados na conta-depósito vinculada, que será encaminhada à Instituição Financeira no prazo máximo de 5 (cinco) dias úteis, a contar da data da apresentação dos documentos comprobatórios pela empresa.</w:t>
      </w:r>
    </w:p>
    <w:p>
      <w:pPr>
        <w:pStyle w:val="Normal"/>
        <w:numPr>
          <w:ilvl w:val="1"/>
          <w:numId w:val="1"/>
        </w:numPr>
        <w:ind w:hanging="432" w:left="567"/>
        <w:rPr>
          <w:rFonts w:ascii="Times New Roman" w:hAnsi="Times New Roman"/>
          <w:color w:val="000000"/>
          <w:highlight w:val="none"/>
          <w:shd w:fill="auto" w:val="clear"/>
        </w:rPr>
      </w:pPr>
      <w:r>
        <w:rPr>
          <w:rFonts w:ascii="Times New Roman" w:hAnsi="Times New Roman"/>
          <w:color w:val="000000"/>
          <w:shd w:fill="auto" w:val="clear"/>
        </w:rPr>
        <w:t>A autorização de movimentação deverá especificar que se destina exclusivamente para o pagamento dos encargos trabalhistas ou de eventual indenização trabalhista aos trabalhadores favorecidos.</w:t>
      </w:r>
    </w:p>
    <w:p>
      <w:pPr>
        <w:pStyle w:val="Normal"/>
        <w:numPr>
          <w:ilvl w:val="1"/>
          <w:numId w:val="1"/>
        </w:numPr>
        <w:ind w:hanging="432" w:left="567"/>
        <w:rPr>
          <w:rFonts w:ascii="Times New Roman" w:hAnsi="Times New Roman"/>
          <w:color w:val="000000"/>
          <w:highlight w:val="none"/>
          <w:shd w:fill="auto" w:val="clear"/>
        </w:rPr>
      </w:pPr>
      <w:r>
        <w:rPr>
          <w:rFonts w:ascii="Times New Roman" w:hAnsi="Times New Roman"/>
          <w:color w:val="000000"/>
          <w:shd w:fill="auto" w:val="clear"/>
        </w:rPr>
        <w:t>O Contratado deverá apresentar ao Contratante, no prazo máximo de 3 (três) dias úteis, contados da movimentação, o comprovante das transferências bancárias realizadas para a quitação das obrigações trabalhistas.</w:t>
      </w:r>
    </w:p>
    <w:p>
      <w:pPr>
        <w:pStyle w:val="Normal"/>
        <w:numPr>
          <w:ilvl w:val="1"/>
          <w:numId w:val="1"/>
        </w:numPr>
        <w:ind w:hanging="432" w:left="567"/>
        <w:rPr>
          <w:rFonts w:ascii="Times New Roman" w:hAnsi="Times New Roman"/>
          <w:color w:val="000000"/>
          <w:highlight w:val="none"/>
          <w:shd w:fill="auto" w:val="clear"/>
        </w:rPr>
      </w:pPr>
      <w:r>
        <w:rPr>
          <w:rFonts w:ascii="Times New Roman" w:hAnsi="Times New Roman"/>
          <w:color w:val="000000"/>
          <w:shd w:fill="auto" w:val="clear"/>
        </w:rPr>
        <w:t xml:space="preserve"> </w:t>
      </w:r>
      <w:r>
        <w:rPr>
          <w:rFonts w:ascii="Times New Roman" w:hAnsi="Times New Roman"/>
          <w:color w:val="000000"/>
          <w:shd w:fill="auto" w:val="clear"/>
        </w:rPr>
        <w:t>O saldo remanescente dos recursos depositados na conta-depósito será liberado à respectiva titular no momento do encerramento do contrato, na presença do sindicato da categoria correspondente aos serviços contratados, quando couber, e após a comprovação da quitação de todos os encargos trabalhistas e previdenciários relativos ao serviço contratado, conforme item 15 do Anexo XII da IN SEGES/MP n. 05/2017.</w:t>
      </w:r>
    </w:p>
    <w:p>
      <w:pPr>
        <w:pStyle w:val="Normal"/>
        <w:numPr>
          <w:ilvl w:val="1"/>
          <w:numId w:val="1"/>
        </w:numPr>
        <w:ind w:hanging="432" w:left="567"/>
        <w:rPr>
          <w:rFonts w:ascii="Times New Roman" w:hAnsi="Times New Roman"/>
          <w:color w:val="000000"/>
          <w:highlight w:val="none"/>
          <w:shd w:fill="auto" w:val="clear"/>
        </w:rPr>
      </w:pPr>
      <w:r>
        <w:rPr>
          <w:rFonts w:ascii="Times New Roman" w:hAnsi="Times New Roman"/>
          <w:color w:val="000000"/>
          <w:shd w:fill="auto" w:val="clear"/>
        </w:rPr>
        <w:t>No caso do Pagamento pelo Fato Gerador, o Contratante adotará os seguintes procedimentos:</w:t>
      </w:r>
    </w:p>
    <w:p>
      <w:pPr>
        <w:pStyle w:val="Normal"/>
        <w:numPr>
          <w:ilvl w:val="1"/>
          <w:numId w:val="1"/>
        </w:numPr>
        <w:ind w:hanging="432" w:left="567"/>
        <w:rPr>
          <w:rFonts w:ascii="Times New Roman" w:hAnsi="Times New Roman"/>
          <w:color w:val="000000"/>
          <w:highlight w:val="none"/>
          <w:shd w:fill="auto" w:val="clear"/>
        </w:rPr>
      </w:pPr>
      <w:r>
        <w:rPr>
          <w:rFonts w:ascii="Times New Roman" w:hAnsi="Times New Roman"/>
          <w:color w:val="000000"/>
          <w:shd w:fill="auto" w:val="clear"/>
        </w:rPr>
        <w:t xml:space="preserve">Serão objeto de pagamento mensal ao Contratado o somatório dos seguintes módulos que compõem a planilha de custos e formação de preços, disposta no Anexo VII-D da IN SEGES/MP n.º 5/2017: </w:t>
      </w:r>
    </w:p>
    <w:p>
      <w:pPr>
        <w:pStyle w:val="Normal"/>
        <w:spacing w:lineRule="auto" w:line="276" w:before="120" w:after="120"/>
        <w:ind w:left="567"/>
        <w:contextualSpacing/>
        <w:jc w:val="both"/>
        <w:rPr>
          <w:rFonts w:ascii="Times New Roman" w:hAnsi="Times New Roman"/>
          <w:color w:val="000000"/>
          <w:highlight w:val="none"/>
          <w:shd w:fill="auto" w:val="clear"/>
        </w:rPr>
      </w:pPr>
      <w:r>
        <w:rPr>
          <w:rFonts w:eastAsia="Arial" w:cs="Arial" w:ascii="Times New Roman" w:hAnsi="Times New Roman"/>
          <w:i/>
          <w:iCs/>
          <w:color w:val="000000"/>
          <w:sz w:val="20"/>
          <w:szCs w:val="20"/>
          <w:shd w:fill="auto" w:val="clear"/>
        </w:rPr>
        <w:t xml:space="preserve">1. Módulo 1: Composição da Remuneração; </w:t>
      </w:r>
    </w:p>
    <w:p>
      <w:pPr>
        <w:pStyle w:val="Normal"/>
        <w:spacing w:lineRule="auto" w:line="276" w:before="120" w:after="120"/>
        <w:ind w:left="567"/>
        <w:contextualSpacing/>
        <w:jc w:val="both"/>
        <w:rPr>
          <w:rFonts w:ascii="Times New Roman" w:hAnsi="Times New Roman"/>
          <w:color w:val="000000"/>
          <w:highlight w:val="none"/>
          <w:shd w:fill="auto" w:val="clear"/>
        </w:rPr>
      </w:pPr>
      <w:r>
        <w:rPr>
          <w:rFonts w:eastAsia="Arial" w:cs="Arial" w:ascii="Times New Roman" w:hAnsi="Times New Roman"/>
          <w:i/>
          <w:iCs/>
          <w:color w:val="000000"/>
          <w:sz w:val="20"/>
          <w:szCs w:val="20"/>
          <w:shd w:fill="auto" w:val="clear"/>
        </w:rPr>
        <w:t xml:space="preserve">2. Submódulo 2.2: Encargos Previdenciários e FGTS; </w:t>
      </w:r>
    </w:p>
    <w:p>
      <w:pPr>
        <w:pStyle w:val="Normal"/>
        <w:spacing w:lineRule="auto" w:line="276" w:before="120" w:after="120"/>
        <w:ind w:left="567"/>
        <w:contextualSpacing/>
        <w:jc w:val="both"/>
        <w:rPr>
          <w:rFonts w:ascii="Times New Roman" w:hAnsi="Times New Roman"/>
          <w:color w:val="000000"/>
          <w:highlight w:val="none"/>
          <w:shd w:fill="auto" w:val="clear"/>
        </w:rPr>
      </w:pPr>
      <w:r>
        <w:rPr>
          <w:rFonts w:eastAsia="Arial" w:cs="Arial" w:ascii="Times New Roman" w:hAnsi="Times New Roman"/>
          <w:i/>
          <w:iCs/>
          <w:color w:val="000000"/>
          <w:sz w:val="20"/>
          <w:szCs w:val="20"/>
          <w:shd w:fill="auto" w:val="clear"/>
        </w:rPr>
        <w:t xml:space="preserve">3. Submódulo 2.3: Benefícios Mensais e Diários; </w:t>
      </w:r>
    </w:p>
    <w:p>
      <w:pPr>
        <w:pStyle w:val="Normal"/>
        <w:spacing w:lineRule="auto" w:line="276" w:before="120" w:after="120"/>
        <w:ind w:left="567"/>
        <w:contextualSpacing/>
        <w:jc w:val="both"/>
        <w:rPr>
          <w:rFonts w:ascii="Times New Roman" w:hAnsi="Times New Roman"/>
          <w:color w:val="000000"/>
          <w:highlight w:val="none"/>
          <w:shd w:fill="auto" w:val="clear"/>
        </w:rPr>
      </w:pPr>
      <w:r>
        <w:rPr>
          <w:rFonts w:eastAsia="Arial" w:cs="Arial" w:ascii="Times New Roman" w:hAnsi="Times New Roman"/>
          <w:i/>
          <w:iCs/>
          <w:color w:val="000000"/>
          <w:sz w:val="20"/>
          <w:szCs w:val="20"/>
          <w:shd w:fill="auto" w:val="clear"/>
        </w:rPr>
        <w:t xml:space="preserve">4. Submódulo 4.2: Substituto na Intrajornada; </w:t>
      </w:r>
    </w:p>
    <w:p>
      <w:pPr>
        <w:pStyle w:val="Normal"/>
        <w:spacing w:lineRule="auto" w:line="276" w:before="120" w:after="120"/>
        <w:ind w:left="567"/>
        <w:contextualSpacing/>
        <w:jc w:val="both"/>
        <w:rPr>
          <w:rFonts w:ascii="Times New Roman" w:hAnsi="Times New Roman"/>
          <w:color w:val="000000"/>
          <w:highlight w:val="none"/>
          <w:shd w:fill="auto" w:val="clear"/>
        </w:rPr>
      </w:pPr>
      <w:r>
        <w:rPr>
          <w:rFonts w:eastAsia="Arial" w:cs="Arial" w:ascii="Times New Roman" w:hAnsi="Times New Roman"/>
          <w:i/>
          <w:iCs/>
          <w:color w:val="000000"/>
          <w:sz w:val="20"/>
          <w:szCs w:val="20"/>
          <w:shd w:fill="auto" w:val="clear"/>
        </w:rPr>
        <w:t xml:space="preserve">5. Módulo 5: Insumos; e </w:t>
      </w:r>
    </w:p>
    <w:p>
      <w:pPr>
        <w:pStyle w:val="Normal"/>
        <w:spacing w:lineRule="auto" w:line="276" w:before="120" w:after="120"/>
        <w:ind w:left="567"/>
        <w:contextualSpacing/>
        <w:jc w:val="both"/>
        <w:rPr>
          <w:rFonts w:ascii="Times New Roman" w:hAnsi="Times New Roman"/>
          <w:color w:val="000000"/>
          <w:highlight w:val="none"/>
          <w:shd w:fill="auto" w:val="clear"/>
        </w:rPr>
      </w:pPr>
      <w:r>
        <w:rPr>
          <w:rFonts w:eastAsia="Arial" w:cs="Arial" w:ascii="Times New Roman" w:hAnsi="Times New Roman"/>
          <w:i/>
          <w:iCs/>
          <w:color w:val="000000"/>
          <w:sz w:val="20"/>
          <w:szCs w:val="20"/>
          <w:shd w:fill="auto" w:val="clear"/>
        </w:rPr>
        <w:t xml:space="preserve">6. Módulo 6: Custos Indiretos, Tributos e Lucro (CITL), que será calculado tendo por base as alíneas acima. </w:t>
      </w:r>
    </w:p>
    <w:p>
      <w:pPr>
        <w:pStyle w:val="Normal"/>
        <w:numPr>
          <w:ilvl w:val="1"/>
          <w:numId w:val="1"/>
        </w:numPr>
        <w:ind w:hanging="432" w:left="567"/>
        <w:rPr>
          <w:rFonts w:ascii="Times New Roman" w:hAnsi="Times New Roman"/>
          <w:color w:val="000000"/>
        </w:rPr>
      </w:pPr>
      <w:r>
        <w:rPr>
          <w:rFonts w:ascii="Times New Roman" w:hAnsi="Times New Roman"/>
          <w:color w:val="000000"/>
          <w:shd w:fill="auto" w:val="clear"/>
        </w:rPr>
        <w:t>Os valores referentes a férias, 1/3 (um terço) de férias previsto na Constituição, 13º (décimo terceiro) salários, ausências legais, verbas rescisórias, devidos aos trabalhadores, bem como outros de evento futuro e incerto, não serão parte integrante dos pagamentos mensais ao</w:t>
      </w:r>
      <w:r>
        <w:rPr>
          <w:rFonts w:ascii="Times New Roman" w:hAnsi="Times New Roman"/>
          <w:color w:val="000000"/>
          <w:highlight w:val="lightGray"/>
        </w:rPr>
        <w:t xml:space="preserve"> </w:t>
      </w:r>
      <w:r>
        <w:rPr>
          <w:rFonts w:eastAsia="" w:ascii="Times New Roman" w:hAnsi="Times New Roman" w:eastAsiaTheme="minorEastAsia"/>
          <w:color w:val="000000"/>
          <w:shd w:fill="auto" w:val="clear"/>
        </w:rPr>
        <w:t>Contratado, devendo ser pagos pela Administração ao Contratado somente na ocorrência do seu fato gerador;</w:t>
      </w:r>
    </w:p>
    <w:p>
      <w:pPr>
        <w:pStyle w:val="Normal"/>
        <w:numPr>
          <w:ilvl w:val="2"/>
          <w:numId w:val="181"/>
        </w:numPr>
        <w:ind w:hanging="0" w:left="567"/>
        <w:rPr>
          <w:rFonts w:ascii="Times New Roman" w:hAnsi="Times New Roman" w:eastAsia="" w:eastAsiaTheme="minorEastAsia"/>
          <w:color w:val="000000"/>
          <w:highlight w:val="none"/>
          <w:shd w:fill="auto" w:val="clear"/>
        </w:rPr>
      </w:pPr>
      <w:r>
        <w:rPr>
          <w:rFonts w:eastAsia="" w:ascii="Times New Roman" w:hAnsi="Times New Roman" w:eastAsiaTheme="minorEastAsia"/>
          <w:color w:val="000000"/>
          <w:shd w:fill="auto" w:val="clear"/>
        </w:rPr>
        <w:t>A não ocorrência dos fatos geradores discriminados neste item não gera direito adquirido para o Contratado das referidas verbas ao final da vigência do contrato, devendo o pagamento seguir as regras previstas no contrato.</w:t>
      </w:r>
    </w:p>
    <w:p>
      <w:pPr>
        <w:pStyle w:val="Normal"/>
        <w:numPr>
          <w:ilvl w:val="1"/>
          <w:numId w:val="1"/>
        </w:numPr>
        <w:ind w:hanging="432" w:left="567"/>
        <w:rPr>
          <w:rFonts w:ascii="Times New Roman" w:hAnsi="Times New Roman" w:eastAsia="" w:eastAsiaTheme="minorEastAsia"/>
          <w:color w:val="000000"/>
          <w:highlight w:val="none"/>
          <w:shd w:fill="auto" w:val="clear"/>
        </w:rPr>
      </w:pPr>
      <w:r>
        <w:rPr>
          <w:rFonts w:eastAsia="" w:ascii="Times New Roman" w:hAnsi="Times New Roman" w:eastAsiaTheme="minorEastAsia"/>
          <w:color w:val="000000"/>
          <w:shd w:fill="auto" w:val="clear"/>
        </w:rPr>
        <w:t>As verbas discriminadas no item anterior somente serão liberadas nas seguintes condições:</w:t>
      </w:r>
    </w:p>
    <w:p>
      <w:pPr>
        <w:pStyle w:val="Normal"/>
        <w:numPr>
          <w:ilvl w:val="2"/>
          <w:numId w:val="182"/>
        </w:numPr>
        <w:ind w:hanging="0" w:left="567"/>
        <w:rPr>
          <w:rFonts w:ascii="Times New Roman" w:hAnsi="Times New Roman" w:eastAsia="" w:eastAsiaTheme="minorEastAsia"/>
          <w:color w:val="000000"/>
          <w:highlight w:val="none"/>
          <w:shd w:fill="auto" w:val="clear"/>
        </w:rPr>
      </w:pPr>
      <w:r>
        <w:rPr>
          <w:rFonts w:eastAsia="" w:ascii="Times New Roman" w:hAnsi="Times New Roman" w:eastAsiaTheme="minorEastAsia"/>
          <w:color w:val="000000"/>
          <w:shd w:fill="auto" w:val="clear"/>
        </w:rPr>
        <w:t>pelo valor correspondente ao 13º (décimo terceiro) salário dos empregados vinculados ao contrato, quando devido;</w:t>
      </w:r>
    </w:p>
    <w:p>
      <w:pPr>
        <w:pStyle w:val="Normal"/>
        <w:numPr>
          <w:ilvl w:val="2"/>
          <w:numId w:val="183"/>
        </w:numPr>
        <w:ind w:hanging="0" w:left="567"/>
        <w:rPr>
          <w:rFonts w:ascii="Times New Roman" w:hAnsi="Times New Roman" w:eastAsia="" w:eastAsiaTheme="minorEastAsia"/>
          <w:color w:val="000000"/>
          <w:highlight w:val="none"/>
          <w:shd w:fill="auto" w:val="clear"/>
        </w:rPr>
      </w:pPr>
      <w:r>
        <w:rPr>
          <w:rFonts w:eastAsia="" w:ascii="Times New Roman" w:hAnsi="Times New Roman" w:eastAsiaTheme="minorEastAsia"/>
          <w:color w:val="000000"/>
          <w:shd w:fill="auto" w:val="clear"/>
        </w:rPr>
        <w:t>pelo valor correspondente às férias e a 1/3 (um terço) de férias previsto na Constituição, quando do gozo de férias pelos empregados vinculados ao contrato;</w:t>
      </w:r>
    </w:p>
    <w:p>
      <w:pPr>
        <w:pStyle w:val="Normal"/>
        <w:numPr>
          <w:ilvl w:val="2"/>
          <w:numId w:val="184"/>
        </w:numPr>
        <w:ind w:hanging="0" w:left="567"/>
        <w:rPr>
          <w:rFonts w:ascii="Times New Roman" w:hAnsi="Times New Roman" w:eastAsia="" w:eastAsiaTheme="minorEastAsia"/>
          <w:color w:val="000000"/>
          <w:highlight w:val="none"/>
          <w:shd w:fill="auto" w:val="clear"/>
        </w:rPr>
      </w:pPr>
      <w:r>
        <w:rPr>
          <w:rFonts w:eastAsia="" w:ascii="Times New Roman" w:hAnsi="Times New Roman" w:eastAsiaTheme="minorEastAsia"/>
          <w:color w:val="000000"/>
          <w:shd w:fill="auto" w:val="clear"/>
        </w:rPr>
        <w:t>pelo valor correspondente ao 13º (décimo terceiro) salário proporcional, férias proporcionais e à indenização compensatória porventura devida sobre o FGTS, quando da dispensa de empregado vinculado ao contrato;</w:t>
      </w:r>
    </w:p>
    <w:p>
      <w:pPr>
        <w:pStyle w:val="Normal"/>
        <w:numPr>
          <w:ilvl w:val="2"/>
          <w:numId w:val="185"/>
        </w:numPr>
        <w:ind w:hanging="0" w:left="567"/>
        <w:rPr>
          <w:rFonts w:ascii="Times New Roman" w:hAnsi="Times New Roman" w:eastAsia="" w:eastAsiaTheme="minorEastAsia"/>
          <w:color w:val="000000"/>
          <w:highlight w:val="none"/>
          <w:shd w:fill="auto" w:val="clear"/>
        </w:rPr>
      </w:pPr>
      <w:r>
        <w:rPr>
          <w:rFonts w:eastAsia="" w:ascii="Times New Roman" w:hAnsi="Times New Roman" w:eastAsiaTheme="minorEastAsia"/>
          <w:color w:val="000000"/>
          <w:shd w:fill="auto" w:val="clear"/>
        </w:rPr>
        <w:t>pelos valores correspondentes às ausências legais efetivamente ocorridas dos empregados vinculados ao contrato; e</w:t>
      </w:r>
    </w:p>
    <w:p>
      <w:pPr>
        <w:pStyle w:val="Normal"/>
        <w:numPr>
          <w:ilvl w:val="2"/>
          <w:numId w:val="186"/>
        </w:numPr>
        <w:ind w:hanging="0" w:left="567"/>
        <w:rPr>
          <w:rFonts w:ascii="Times New Roman" w:hAnsi="Times New Roman" w:eastAsia="" w:eastAsiaTheme="minorEastAsia"/>
          <w:color w:val="000000"/>
          <w:highlight w:val="none"/>
          <w:shd w:fill="auto" w:val="clear"/>
        </w:rPr>
      </w:pPr>
      <w:r>
        <w:rPr>
          <w:rFonts w:eastAsia="" w:ascii="Times New Roman" w:hAnsi="Times New Roman" w:eastAsiaTheme="minorEastAsia"/>
          <w:color w:val="000000"/>
          <w:shd w:fill="auto" w:val="clear"/>
        </w:rPr>
        <w:t xml:space="preserve">outras de evento futuro e incerto, após efetivamente ocorridas, pelos seus valores correspondentes. </w:t>
      </w:r>
    </w:p>
    <w:p>
      <w:pPr>
        <w:pStyle w:val="Normal"/>
        <w:ind w:hanging="0" w:left="567"/>
        <w:rPr>
          <w:rFonts w:ascii="Times New Roman" w:hAnsi="Times New Roman" w:eastAsia="" w:eastAsiaTheme="minorEastAsia"/>
          <w:color w:val="000000"/>
          <w:highlight w:val="none"/>
          <w:shd w:fill="auto" w:val="clear"/>
        </w:rPr>
      </w:pPr>
      <w:r>
        <w:rPr>
          <w:rFonts w:eastAsia="" w:eastAsiaTheme="minorEastAsia" w:ascii="Times New Roman" w:hAnsi="Times New Roman"/>
          <w:color w:val="000000"/>
          <w:shd w:fill="auto" w:val="clear"/>
        </w:rPr>
      </w:r>
    </w:p>
    <w:p>
      <w:pPr>
        <w:pStyle w:val="Normal"/>
        <w:numPr>
          <w:ilvl w:val="0"/>
          <w:numId w:val="1"/>
        </w:numPr>
        <w:ind w:hanging="357" w:left="567"/>
        <w:rPr>
          <w:b/>
          <w:bCs/>
        </w:rPr>
      </w:pPr>
      <w:r>
        <w:rPr>
          <w:rFonts w:eastAsia="" w:ascii="Times New Roman" w:hAnsi="Times New Roman" w:eastAsiaTheme="minorEastAsia"/>
          <w:b/>
          <w:bCs/>
          <w:color w:val="000000"/>
          <w:shd w:fill="auto" w:val="clear"/>
        </w:rPr>
        <w:t>INFRAÇÕES E SANÇÕES ADMINISTRATI</w:t>
      </w:r>
      <w:r>
        <w:rPr>
          <w:rFonts w:ascii="Times New Roman" w:hAnsi="Times New Roman"/>
          <w:b/>
          <w:bCs/>
          <w:color w:val="000000"/>
        </w:rPr>
        <w:t>VAS</w:t>
      </w:r>
    </w:p>
    <w:p>
      <w:pPr>
        <w:pStyle w:val="Normal"/>
        <w:numPr>
          <w:ilvl w:val="1"/>
          <w:numId w:val="1"/>
        </w:numPr>
        <w:ind w:hanging="0" w:left="567"/>
        <w:rPr/>
      </w:pPr>
      <w:r>
        <w:rPr>
          <w:rStyle w:val="normaltextrun"/>
          <w:rFonts w:ascii="Times New Roman" w:hAnsi="Times New Roman"/>
          <w:color w:val="000000"/>
        </w:rPr>
        <w:t xml:space="preserve">Comete </w:t>
      </w:r>
      <w:r>
        <w:rPr>
          <w:rFonts w:ascii="Times New Roman" w:hAnsi="Times New Roman"/>
          <w:color w:val="000000"/>
        </w:rPr>
        <w:t>infração</w:t>
      </w:r>
      <w:r>
        <w:rPr>
          <w:rStyle w:val="normaltextrun"/>
          <w:rFonts w:ascii="Times New Roman" w:hAnsi="Times New Roman"/>
          <w:color w:val="000000"/>
        </w:rPr>
        <w:t xml:space="preserve"> administrativa, nos termos da Lei nº 14.133, de 2021, o Contratado que:</w:t>
      </w:r>
    </w:p>
    <w:p>
      <w:pPr>
        <w:pStyle w:val="Normal"/>
        <w:numPr>
          <w:ilvl w:val="0"/>
          <w:numId w:val="2"/>
        </w:numPr>
        <w:spacing w:lineRule="auto" w:line="276" w:beforeAutospacing="0" w:before="120" w:afterAutospacing="0" w:after="0"/>
        <w:ind w:hanging="0" w:left="567"/>
        <w:jc w:val="both"/>
        <w:textAlignment w:val="baseline"/>
        <w:rPr/>
      </w:pPr>
      <w:r>
        <w:rPr>
          <w:rStyle w:val="normaltextrun"/>
          <w:rFonts w:cs="Arial" w:ascii="Times New Roman" w:hAnsi="Times New Roman"/>
          <w:color w:val="000000"/>
          <w:sz w:val="20"/>
          <w:szCs w:val="20"/>
        </w:rPr>
        <w:t>der causa à inexecução parcial do contrato;</w:t>
      </w:r>
    </w:p>
    <w:p>
      <w:pPr>
        <w:pStyle w:val="Normal"/>
        <w:numPr>
          <w:ilvl w:val="0"/>
          <w:numId w:val="2"/>
        </w:numPr>
        <w:spacing w:lineRule="auto" w:line="276" w:beforeAutospacing="0" w:before="0" w:afterAutospacing="0" w:after="0"/>
        <w:ind w:hanging="0" w:left="567"/>
        <w:jc w:val="both"/>
        <w:textAlignment w:val="baseline"/>
        <w:rPr/>
      </w:pPr>
      <w:r>
        <w:rPr>
          <w:rStyle w:val="normaltextrun"/>
          <w:rFonts w:cs="Arial" w:ascii="Times New Roman" w:hAnsi="Times New Roman"/>
          <w:color w:val="000000"/>
          <w:sz w:val="20"/>
          <w:szCs w:val="20"/>
        </w:rPr>
        <w:t>der causa à inexecução parcial do contrato que cause grave dano à Administração ou ao funcionamento dos serviços públicos ou ao interesse coletivo;</w:t>
      </w:r>
    </w:p>
    <w:p>
      <w:pPr>
        <w:pStyle w:val="Normal"/>
        <w:numPr>
          <w:ilvl w:val="0"/>
          <w:numId w:val="2"/>
        </w:numPr>
        <w:spacing w:lineRule="auto" w:line="276" w:beforeAutospacing="0" w:before="0" w:afterAutospacing="0" w:after="0"/>
        <w:ind w:hanging="0" w:left="567"/>
        <w:jc w:val="both"/>
        <w:textAlignment w:val="baseline"/>
        <w:rPr/>
      </w:pPr>
      <w:r>
        <w:rPr>
          <w:rStyle w:val="normaltextrun"/>
          <w:rFonts w:cs="Arial" w:ascii="Times New Roman" w:hAnsi="Times New Roman"/>
          <w:color w:val="000000"/>
          <w:sz w:val="20"/>
          <w:szCs w:val="20"/>
        </w:rPr>
        <w:t>der causa à inexecução total do contrato;</w:t>
      </w:r>
    </w:p>
    <w:p>
      <w:pPr>
        <w:pStyle w:val="Normal"/>
        <w:numPr>
          <w:ilvl w:val="0"/>
          <w:numId w:val="2"/>
        </w:numPr>
        <w:spacing w:lineRule="auto" w:line="276" w:beforeAutospacing="0" w:before="0" w:afterAutospacing="0" w:after="0"/>
        <w:ind w:hanging="0" w:left="567"/>
        <w:jc w:val="both"/>
        <w:textAlignment w:val="baseline"/>
        <w:rPr/>
      </w:pPr>
      <w:r>
        <w:rPr>
          <w:rStyle w:val="normaltextrun"/>
          <w:rFonts w:cs="Arial" w:ascii="Times New Roman" w:hAnsi="Times New Roman"/>
          <w:color w:val="000000"/>
          <w:sz w:val="20"/>
          <w:szCs w:val="20"/>
        </w:rPr>
        <w:t>ensejar o retardamento da execução ou da entrega do objeto da contratação sem motivo justificado;</w:t>
      </w:r>
    </w:p>
    <w:p>
      <w:pPr>
        <w:pStyle w:val="Normal"/>
        <w:numPr>
          <w:ilvl w:val="0"/>
          <w:numId w:val="2"/>
        </w:numPr>
        <w:spacing w:lineRule="auto" w:line="276" w:beforeAutospacing="0" w:before="0" w:afterAutospacing="0" w:after="0"/>
        <w:ind w:hanging="0" w:left="567"/>
        <w:jc w:val="both"/>
        <w:textAlignment w:val="baseline"/>
        <w:rPr/>
      </w:pPr>
      <w:r>
        <w:rPr>
          <w:rStyle w:val="normaltextrun"/>
          <w:rFonts w:cs="Arial" w:ascii="Times New Roman" w:hAnsi="Times New Roman"/>
          <w:color w:val="000000"/>
          <w:sz w:val="20"/>
          <w:szCs w:val="20"/>
        </w:rPr>
        <w:t>apresentar documentação falsa ou prestar declaração falsa durante a execução do contrato;</w:t>
      </w:r>
    </w:p>
    <w:p>
      <w:pPr>
        <w:pStyle w:val="Normal"/>
        <w:numPr>
          <w:ilvl w:val="0"/>
          <w:numId w:val="2"/>
        </w:numPr>
        <w:spacing w:lineRule="auto" w:line="276" w:beforeAutospacing="0" w:before="0" w:afterAutospacing="0" w:after="0"/>
        <w:ind w:hanging="0" w:left="567"/>
        <w:jc w:val="both"/>
        <w:textAlignment w:val="baseline"/>
        <w:rPr/>
      </w:pPr>
      <w:r>
        <w:rPr>
          <w:rStyle w:val="normaltextrun"/>
          <w:rFonts w:cs="Arial" w:ascii="Times New Roman" w:hAnsi="Times New Roman"/>
          <w:color w:val="000000"/>
          <w:sz w:val="20"/>
          <w:szCs w:val="20"/>
        </w:rPr>
        <w:t>praticar ato fraudulento na execução do contrato;</w:t>
      </w:r>
    </w:p>
    <w:p>
      <w:pPr>
        <w:pStyle w:val="Normal"/>
        <w:numPr>
          <w:ilvl w:val="0"/>
          <w:numId w:val="2"/>
        </w:numPr>
        <w:spacing w:lineRule="auto" w:line="276" w:beforeAutospacing="0" w:before="0" w:afterAutospacing="0" w:after="0"/>
        <w:ind w:hanging="0" w:left="567"/>
        <w:jc w:val="both"/>
        <w:textAlignment w:val="baseline"/>
        <w:rPr/>
      </w:pPr>
      <w:r>
        <w:rPr>
          <w:rStyle w:val="normaltextrun"/>
          <w:rFonts w:cs="Arial" w:ascii="Times New Roman" w:hAnsi="Times New Roman"/>
          <w:color w:val="000000"/>
          <w:sz w:val="20"/>
          <w:szCs w:val="20"/>
        </w:rPr>
        <w:t>comportar-se de modo inidôneo ou cometer fraude de qualquer natureza;</w:t>
      </w:r>
    </w:p>
    <w:p>
      <w:pPr>
        <w:pStyle w:val="Normal"/>
        <w:numPr>
          <w:ilvl w:val="0"/>
          <w:numId w:val="2"/>
        </w:numPr>
        <w:spacing w:lineRule="auto" w:line="276" w:beforeAutospacing="0" w:before="0" w:afterAutospacing="0" w:after="0"/>
        <w:ind w:hanging="0" w:left="567"/>
        <w:jc w:val="both"/>
        <w:textAlignment w:val="baseline"/>
        <w:rPr/>
      </w:pPr>
      <w:r>
        <w:rPr>
          <w:rStyle w:val="normaltextrun"/>
          <w:rFonts w:cs="Arial" w:ascii="Times New Roman" w:hAnsi="Times New Roman"/>
          <w:color w:val="000000"/>
          <w:sz w:val="20"/>
          <w:szCs w:val="20"/>
        </w:rPr>
        <w:t>praticar ato lesivo previsto no art. 5º da Lei nº 12.846, de 1º de agosto de 2013.</w:t>
      </w:r>
    </w:p>
    <w:p>
      <w:pPr>
        <w:pStyle w:val="Normal"/>
        <w:numPr>
          <w:ilvl w:val="1"/>
          <w:numId w:val="1"/>
        </w:numPr>
        <w:ind w:hanging="0" w:left="567"/>
        <w:rPr/>
      </w:pPr>
      <w:r>
        <w:rPr>
          <w:rStyle w:val="normaltextrun"/>
          <w:rFonts w:ascii="Times New Roman" w:hAnsi="Times New Roman"/>
          <w:color w:val="000000"/>
        </w:rPr>
        <w:t xml:space="preserve">Serão </w:t>
      </w:r>
      <w:r>
        <w:rPr>
          <w:rFonts w:ascii="Times New Roman" w:hAnsi="Times New Roman"/>
          <w:color w:val="000000"/>
        </w:rPr>
        <w:t>aplicadas</w:t>
      </w:r>
      <w:r>
        <w:rPr>
          <w:rStyle w:val="normaltextrun"/>
          <w:rFonts w:ascii="Times New Roman" w:hAnsi="Times New Roman"/>
          <w:color w:val="000000"/>
        </w:rPr>
        <w:t xml:space="preserve"> ao Contratado que incorrer nas infrações acima descritas as seguintes sanções:</w:t>
      </w:r>
    </w:p>
    <w:p>
      <w:pPr>
        <w:pStyle w:val="Normal"/>
        <w:numPr>
          <w:ilvl w:val="2"/>
          <w:numId w:val="187"/>
        </w:numPr>
        <w:ind w:hanging="0" w:left="567"/>
        <w:rPr/>
      </w:pPr>
      <w:r>
        <w:rPr>
          <w:rStyle w:val="normaltextrun"/>
          <w:rFonts w:cs="Arial" w:ascii="Times New Roman" w:hAnsi="Times New Roman"/>
          <w:color w:val="000000"/>
          <w:szCs w:val="20"/>
        </w:rPr>
        <w:t>Advertência, quando o Contratado der causa à inexecução parcial do contrato, sempre que não se justificar a imposição de penalidade mais grave;</w:t>
      </w:r>
    </w:p>
    <w:p>
      <w:pPr>
        <w:pStyle w:val="Normal"/>
        <w:numPr>
          <w:ilvl w:val="2"/>
          <w:numId w:val="188"/>
        </w:numPr>
        <w:ind w:hanging="0" w:left="567"/>
        <w:rPr/>
      </w:pPr>
      <w:r>
        <w:rPr>
          <w:rStyle w:val="normaltextrun"/>
          <w:rFonts w:cs="Arial" w:ascii="Times New Roman" w:hAnsi="Times New Roman"/>
          <w:color w:val="000000"/>
          <w:szCs w:val="20"/>
        </w:rPr>
        <w:t>Impedimento de licitar e contratar, quando praticadas as condutas descritas nas alíneas “b”, “c” e “d” do subitem acima, sempre que não se justificar a imposição de penalidade mais grave;</w:t>
      </w:r>
    </w:p>
    <w:p>
      <w:pPr>
        <w:pStyle w:val="Normal"/>
        <w:numPr>
          <w:ilvl w:val="2"/>
          <w:numId w:val="189"/>
        </w:numPr>
        <w:ind w:hanging="0" w:left="567"/>
        <w:rPr/>
      </w:pPr>
      <w:r>
        <w:rPr>
          <w:rStyle w:val="normaltextrun"/>
          <w:rFonts w:cs="Arial" w:ascii="Times New Roman" w:hAnsi="Times New Roman"/>
          <w:color w:val="000000"/>
          <w:szCs w:val="20"/>
        </w:rPr>
        <w:t>Declaração de inidoneidade para licitar e contratar, quando praticadas as condutas descritas nas alíneas “e”, “f”, “g” e “h” do subitem acima, bem como nas alíneas “b”, “c” e “d”, que justifiquem a imposição de penalidade mais grave.</w:t>
      </w:r>
    </w:p>
    <w:p>
      <w:pPr>
        <w:pStyle w:val="Normal"/>
        <w:numPr>
          <w:ilvl w:val="2"/>
          <w:numId w:val="190"/>
        </w:numPr>
        <w:ind w:hanging="0" w:left="567"/>
        <w:rPr/>
      </w:pPr>
      <w:r>
        <w:rPr>
          <w:rStyle w:val="normaltextrun"/>
          <w:rFonts w:cs="Arial" w:ascii="Times New Roman" w:hAnsi="Times New Roman"/>
          <w:color w:val="000000"/>
          <w:szCs w:val="20"/>
          <w:shd w:fill="auto" w:val="clear"/>
        </w:rPr>
        <w:t>Multa:</w:t>
      </w:r>
    </w:p>
    <w:p>
      <w:pPr>
        <w:pStyle w:val="Normal"/>
        <w:numPr>
          <w:ilvl w:val="3"/>
          <w:numId w:val="191"/>
        </w:numPr>
        <w:ind w:hanging="0" w:left="567"/>
        <w:rPr/>
      </w:pPr>
      <w:r>
        <w:rPr>
          <w:rStyle w:val="normaltextrun"/>
          <w:rFonts w:ascii="Times New Roman" w:hAnsi="Times New Roman"/>
          <w:color w:val="000000"/>
          <w:shd w:fill="auto" w:val="clear"/>
        </w:rPr>
        <w:t>Moratória, para as infrações descritas no item “d”, de 01</w:t>
      </w:r>
      <w:r>
        <w:rPr>
          <w:rStyle w:val="normaltextrun"/>
          <w:rFonts w:ascii="Times New Roman" w:hAnsi="Times New Roman"/>
          <w:iCs/>
          <w:color w:val="000000"/>
          <w:shd w:fill="auto" w:val="clear"/>
        </w:rPr>
        <w:t>% (u</w:t>
      </w:r>
      <w:r>
        <w:rPr>
          <w:rStyle w:val="normaltextrun"/>
          <w:rFonts w:ascii="Times New Roman" w:hAnsi="Times New Roman"/>
          <w:b/>
          <w:bCs w:val="false"/>
          <w:iCs/>
          <w:color w:val="000000"/>
          <w:shd w:fill="auto" w:val="clear"/>
        </w:rPr>
        <w:t>m</w:t>
      </w:r>
      <w:r>
        <w:rPr>
          <w:rStyle w:val="normaltextrun"/>
          <w:rFonts w:ascii="Times New Roman" w:hAnsi="Times New Roman"/>
          <w:iCs/>
          <w:color w:val="000000"/>
          <w:shd w:fill="auto" w:val="clear"/>
        </w:rPr>
        <w:t xml:space="preserve"> por cento)</w:t>
      </w:r>
      <w:r>
        <w:rPr>
          <w:rStyle w:val="normaltextrun"/>
          <w:rFonts w:ascii="Times New Roman" w:hAnsi="Times New Roman"/>
          <w:color w:val="000000"/>
          <w:shd w:fill="auto" w:val="clear"/>
        </w:rPr>
        <w:t xml:space="preserve"> por dia de atraso injustificado sobre o valor da parcela inadimplida, até o limite de 1</w:t>
      </w:r>
      <w:r>
        <w:rPr>
          <w:rStyle w:val="normaltextrun"/>
          <w:rFonts w:ascii="Times New Roman" w:hAnsi="Times New Roman"/>
          <w:b/>
          <w:bCs w:val="false"/>
          <w:color w:val="000000"/>
          <w:shd w:fill="auto" w:val="clear"/>
        </w:rPr>
        <w:t>0</w:t>
      </w:r>
      <w:r>
        <w:rPr>
          <w:rStyle w:val="normaltextrun"/>
          <w:rFonts w:ascii="Times New Roman" w:hAnsi="Times New Roman"/>
          <w:iCs/>
          <w:color w:val="000000"/>
          <w:shd w:fill="auto" w:val="clear"/>
        </w:rPr>
        <w:t xml:space="preserve"> (d</w:t>
      </w:r>
      <w:r>
        <w:rPr>
          <w:rStyle w:val="normaltextrun"/>
          <w:rFonts w:ascii="Times New Roman" w:hAnsi="Times New Roman"/>
          <w:b/>
          <w:bCs w:val="false"/>
          <w:iCs/>
          <w:color w:val="000000"/>
          <w:shd w:fill="auto" w:val="clear"/>
        </w:rPr>
        <w:t>ez</w:t>
      </w:r>
      <w:r>
        <w:rPr>
          <w:rStyle w:val="normaltextrun"/>
          <w:rFonts w:ascii="Times New Roman" w:hAnsi="Times New Roman"/>
          <w:iCs/>
          <w:color w:val="000000"/>
          <w:shd w:fill="auto" w:val="clear"/>
        </w:rPr>
        <w:t>)</w:t>
      </w:r>
      <w:r>
        <w:rPr>
          <w:rStyle w:val="normaltextrun"/>
          <w:rFonts w:ascii="Times New Roman" w:hAnsi="Times New Roman"/>
          <w:color w:val="000000"/>
          <w:shd w:fill="auto" w:val="clear"/>
        </w:rPr>
        <w:t xml:space="preserve"> dias.</w:t>
      </w:r>
      <w:r>
        <w:rPr>
          <w:rFonts w:ascii="Times New Roman" w:hAnsi="Times New Roman"/>
          <w:color w:val="000000"/>
          <w:shd w:fill="auto" w:val="clear"/>
        </w:rPr>
        <w:t xml:space="preserve"> </w:t>
      </w:r>
    </w:p>
    <w:p>
      <w:pPr>
        <w:pStyle w:val="Normal"/>
        <w:numPr>
          <w:ilvl w:val="3"/>
          <w:numId w:val="1"/>
        </w:numPr>
        <w:ind w:hanging="0" w:left="567"/>
        <w:rPr>
          <w:rFonts w:ascii="Times New Roman" w:hAnsi="Times New Roman"/>
        </w:rPr>
      </w:pPr>
      <w:r>
        <w:rPr>
          <w:rStyle w:val="normaltextrun"/>
          <w:rFonts w:ascii="Times New Roman" w:hAnsi="Times New Roman"/>
          <w:bCs w:val="false"/>
          <w:iCs/>
          <w:color w:val="000000"/>
        </w:rPr>
        <w:t xml:space="preserve">Moratória </w:t>
      </w:r>
      <w:r>
        <w:rPr>
          <w:rStyle w:val="normaltextrun"/>
          <w:rFonts w:ascii="Times New Roman" w:hAnsi="Times New Roman"/>
          <w:iCs/>
          <w:color w:val="000000"/>
        </w:rPr>
        <w:t>de 0,07% (sete centésimos por cento) por dia de atraso injustificado sobre o valor total do contrato, até o máximo de 2% (dois por cento), pela inobservância do prazo fixado para apresentação, suplementação ou reposição da garantia</w:t>
      </w:r>
      <w:r>
        <w:rPr>
          <w:rStyle w:val="normaltextrun"/>
          <w:rFonts w:ascii="Times New Roman" w:hAnsi="Times New Roman"/>
          <w:color w:val="000000"/>
        </w:rPr>
        <w:t>;</w:t>
      </w:r>
    </w:p>
    <w:p>
      <w:pPr>
        <w:pStyle w:val="Normal"/>
        <w:numPr>
          <w:ilvl w:val="4"/>
          <w:numId w:val="192"/>
        </w:numPr>
        <w:ind w:hanging="0" w:left="567"/>
        <w:rPr>
          <w:rFonts w:ascii="Times New Roman" w:hAnsi="Times New Roman"/>
          <w:color w:val="000000"/>
        </w:rPr>
      </w:pPr>
      <w:r>
        <w:rPr>
          <w:rFonts w:ascii="Times New Roman" w:hAnsi="Times New Roman"/>
          <w:color w:val="000000"/>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pPr>
        <w:pStyle w:val="Normal"/>
        <w:numPr>
          <w:ilvl w:val="3"/>
          <w:numId w:val="193"/>
        </w:numPr>
        <w:ind w:hanging="0" w:left="567"/>
        <w:rPr/>
      </w:pPr>
      <w:r>
        <w:rPr>
          <w:rStyle w:val="normaltextrun"/>
          <w:rFonts w:ascii="Times New Roman" w:hAnsi="Times New Roman"/>
          <w:bCs w:val="false"/>
          <w:color w:val="000000"/>
        </w:rPr>
        <w:t>Compensatória</w:t>
      </w:r>
      <w:r>
        <w:rPr>
          <w:rStyle w:val="normaltextrun"/>
          <w:rFonts w:ascii="Times New Roman" w:hAnsi="Times New Roman"/>
          <w:color w:val="000000"/>
        </w:rPr>
        <w:t>, para as infrações descritas acima alíneas “</w:t>
      </w:r>
      <w:r>
        <w:rPr>
          <w:rStyle w:val="normaltextrun"/>
          <w:rFonts w:ascii="Times New Roman" w:hAnsi="Times New Roman"/>
          <w:b/>
          <w:color w:val="000000"/>
        </w:rPr>
        <w:t>e</w:t>
      </w:r>
      <w:r>
        <w:rPr>
          <w:rStyle w:val="normaltextrun"/>
          <w:rFonts w:ascii="Times New Roman" w:hAnsi="Times New Roman"/>
          <w:color w:val="000000"/>
        </w:rPr>
        <w:t>” a “</w:t>
      </w:r>
      <w:r>
        <w:rPr>
          <w:rStyle w:val="normaltextrun"/>
          <w:rFonts w:ascii="Times New Roman" w:hAnsi="Times New Roman"/>
          <w:b/>
          <w:color w:val="000000"/>
        </w:rPr>
        <w:t>h</w:t>
      </w:r>
      <w:r>
        <w:rPr>
          <w:rStyle w:val="normaltextrun"/>
          <w:rFonts w:ascii="Times New Roman" w:hAnsi="Times New Roman"/>
          <w:color w:val="000000"/>
        </w:rPr>
        <w:t>” de 0</w:t>
      </w:r>
      <w:r>
        <w:rPr>
          <w:rStyle w:val="normaltextrun"/>
          <w:rFonts w:ascii="Times New Roman" w:hAnsi="Times New Roman"/>
          <w:b/>
          <w:bCs w:val="false"/>
          <w:iCs/>
          <w:color w:val="000000"/>
        </w:rPr>
        <w:t>1</w:t>
      </w:r>
      <w:r>
        <w:rPr>
          <w:rStyle w:val="normaltextrun"/>
          <w:rFonts w:ascii="Times New Roman" w:hAnsi="Times New Roman"/>
          <w:iCs/>
          <w:color w:val="000000"/>
        </w:rPr>
        <w:t>% (u</w:t>
      </w:r>
      <w:r>
        <w:rPr>
          <w:rStyle w:val="normaltextrun"/>
          <w:rFonts w:ascii="Times New Roman" w:hAnsi="Times New Roman"/>
          <w:b/>
          <w:bCs w:val="false"/>
          <w:iCs/>
          <w:color w:val="000000"/>
        </w:rPr>
        <w:t>m</w:t>
      </w:r>
      <w:r>
        <w:rPr>
          <w:rStyle w:val="normaltextrun"/>
          <w:rFonts w:ascii="Times New Roman" w:hAnsi="Times New Roman"/>
          <w:iCs/>
          <w:color w:val="000000"/>
        </w:rPr>
        <w:t xml:space="preserve"> por cento) </w:t>
      </w:r>
      <w:r>
        <w:rPr>
          <w:rStyle w:val="normaltextrun"/>
          <w:rFonts w:ascii="Times New Roman" w:hAnsi="Times New Roman"/>
          <w:color w:val="000000"/>
        </w:rPr>
        <w:t>a</w:t>
      </w:r>
      <w:r>
        <w:rPr>
          <w:rStyle w:val="normaltextrun"/>
          <w:rFonts w:ascii="Times New Roman" w:hAnsi="Times New Roman"/>
          <w:iCs/>
          <w:color w:val="000000"/>
        </w:rPr>
        <w:t xml:space="preserve"> 1</w:t>
      </w:r>
      <w:r>
        <w:rPr>
          <w:rStyle w:val="normaltextrun"/>
          <w:rFonts w:ascii="Times New Roman" w:hAnsi="Times New Roman"/>
          <w:b/>
          <w:bCs w:val="false"/>
          <w:iCs/>
          <w:color w:val="000000"/>
        </w:rPr>
        <w:t>0</w:t>
      </w:r>
      <w:r>
        <w:rPr>
          <w:rStyle w:val="normaltextrun"/>
          <w:rFonts w:ascii="Times New Roman" w:hAnsi="Times New Roman"/>
          <w:iCs/>
          <w:color w:val="000000"/>
        </w:rPr>
        <w:t>% (d</w:t>
      </w:r>
      <w:r>
        <w:rPr>
          <w:rStyle w:val="normaltextrun"/>
          <w:rFonts w:ascii="Times New Roman" w:hAnsi="Times New Roman"/>
          <w:b/>
          <w:bCs w:val="false"/>
          <w:iCs/>
          <w:color w:val="000000"/>
        </w:rPr>
        <w:t>ez</w:t>
      </w:r>
      <w:r>
        <w:rPr>
          <w:rStyle w:val="normaltextrun"/>
          <w:rFonts w:ascii="Times New Roman" w:hAnsi="Times New Roman"/>
          <w:iCs/>
          <w:color w:val="000000"/>
        </w:rPr>
        <w:t xml:space="preserve"> por cento)</w:t>
      </w:r>
      <w:r>
        <w:rPr>
          <w:rStyle w:val="normaltextrun"/>
          <w:rFonts w:ascii="Times New Roman" w:hAnsi="Times New Roman"/>
          <w:color w:val="000000"/>
        </w:rPr>
        <w:t xml:space="preserve"> do valor da contratação.</w:t>
      </w:r>
    </w:p>
    <w:p>
      <w:pPr>
        <w:pStyle w:val="Normal"/>
        <w:numPr>
          <w:ilvl w:val="3"/>
          <w:numId w:val="194"/>
        </w:numPr>
        <w:ind w:hanging="0" w:left="567"/>
        <w:rPr/>
      </w:pPr>
      <w:r>
        <w:rPr>
          <w:rStyle w:val="normaltextrun"/>
          <w:rFonts w:ascii="Times New Roman" w:hAnsi="Times New Roman"/>
          <w:bCs w:val="false"/>
          <w:color w:val="000000"/>
        </w:rPr>
        <w:t>Compensatória</w:t>
      </w:r>
      <w:r>
        <w:rPr>
          <w:rStyle w:val="normaltextrun"/>
          <w:rFonts w:ascii="Times New Roman" w:hAnsi="Times New Roman"/>
          <w:color w:val="000000"/>
        </w:rPr>
        <w:t>, para a inexecução total do contrato prevista acima na alínea “</w:t>
      </w:r>
      <w:r>
        <w:rPr>
          <w:rStyle w:val="normaltextrun"/>
          <w:rFonts w:ascii="Times New Roman" w:hAnsi="Times New Roman"/>
          <w:b/>
          <w:color w:val="000000"/>
        </w:rPr>
        <w:t>c</w:t>
      </w:r>
      <w:r>
        <w:rPr>
          <w:rStyle w:val="normaltextrun"/>
          <w:rFonts w:ascii="Times New Roman" w:hAnsi="Times New Roman"/>
          <w:color w:val="000000"/>
        </w:rPr>
        <w:t>”, de 0</w:t>
      </w:r>
      <w:r>
        <w:rPr>
          <w:rStyle w:val="normaltextrun"/>
          <w:rFonts w:ascii="Times New Roman" w:hAnsi="Times New Roman"/>
          <w:b/>
          <w:bCs w:val="false"/>
          <w:iCs/>
          <w:color w:val="000000"/>
        </w:rPr>
        <w:t>2</w:t>
      </w:r>
      <w:r>
        <w:rPr>
          <w:rStyle w:val="normaltextrun"/>
          <w:rFonts w:ascii="Times New Roman" w:hAnsi="Times New Roman"/>
          <w:iCs/>
          <w:color w:val="000000"/>
        </w:rPr>
        <w:t>% (d</w:t>
      </w:r>
      <w:r>
        <w:rPr>
          <w:rStyle w:val="normaltextrun"/>
          <w:rFonts w:ascii="Times New Roman" w:hAnsi="Times New Roman"/>
          <w:b/>
          <w:bCs w:val="false"/>
          <w:iCs/>
          <w:color w:val="000000"/>
        </w:rPr>
        <w:t>ois</w:t>
      </w:r>
      <w:r>
        <w:rPr>
          <w:rStyle w:val="normaltextrun"/>
          <w:rFonts w:ascii="Times New Roman" w:hAnsi="Times New Roman"/>
          <w:iCs/>
          <w:color w:val="000000"/>
        </w:rPr>
        <w:t xml:space="preserve"> por cento)</w:t>
      </w:r>
      <w:r>
        <w:rPr>
          <w:rStyle w:val="normaltextrun"/>
          <w:rFonts w:ascii="Times New Roman" w:hAnsi="Times New Roman"/>
          <w:color w:val="000000"/>
        </w:rPr>
        <w:t xml:space="preserve"> a 0</w:t>
      </w:r>
      <w:r>
        <w:rPr>
          <w:rStyle w:val="normaltextrun"/>
          <w:rFonts w:ascii="Times New Roman" w:hAnsi="Times New Roman"/>
          <w:b/>
          <w:bCs w:val="false"/>
          <w:iCs/>
          <w:color w:val="000000"/>
        </w:rPr>
        <w:t>8</w:t>
      </w:r>
      <w:r>
        <w:rPr>
          <w:rStyle w:val="normaltextrun"/>
          <w:rFonts w:ascii="Times New Roman" w:hAnsi="Times New Roman"/>
          <w:iCs/>
          <w:color w:val="000000"/>
        </w:rPr>
        <w:t>% (oito por cento)</w:t>
      </w:r>
      <w:r>
        <w:rPr>
          <w:rStyle w:val="normaltextrun"/>
          <w:rFonts w:ascii="Times New Roman" w:hAnsi="Times New Roman"/>
          <w:color w:val="000000"/>
        </w:rPr>
        <w:t xml:space="preserve"> do valor da contratação.</w:t>
      </w:r>
    </w:p>
    <w:p>
      <w:pPr>
        <w:pStyle w:val="Normal"/>
        <w:numPr>
          <w:ilvl w:val="3"/>
          <w:numId w:val="195"/>
        </w:numPr>
        <w:ind w:hanging="0" w:left="567"/>
        <w:rPr/>
      </w:pPr>
      <w:r>
        <w:rPr>
          <w:rStyle w:val="normaltextrun"/>
          <w:rFonts w:ascii="Times New Roman" w:hAnsi="Times New Roman"/>
          <w:bCs w:val="false"/>
          <w:color w:val="000000"/>
        </w:rPr>
        <w:t>Compensatória</w:t>
      </w:r>
      <w:r>
        <w:rPr>
          <w:rStyle w:val="normaltextrun"/>
          <w:rFonts w:ascii="Times New Roman" w:hAnsi="Times New Roman"/>
          <w:color w:val="000000"/>
        </w:rPr>
        <w:t>, para a infração descrita acima na alínea “</w:t>
      </w:r>
      <w:r>
        <w:rPr>
          <w:rStyle w:val="normaltextrun"/>
          <w:rFonts w:ascii="Times New Roman" w:hAnsi="Times New Roman"/>
          <w:b/>
          <w:color w:val="000000"/>
        </w:rPr>
        <w:t>b</w:t>
      </w:r>
      <w:r>
        <w:rPr>
          <w:rStyle w:val="normaltextrun"/>
          <w:rFonts w:ascii="Times New Roman" w:hAnsi="Times New Roman"/>
          <w:color w:val="000000"/>
        </w:rPr>
        <w:t>”, de 0</w:t>
      </w:r>
      <w:r>
        <w:rPr>
          <w:rStyle w:val="normaltextrun"/>
          <w:rFonts w:ascii="Times New Roman" w:hAnsi="Times New Roman"/>
          <w:b/>
          <w:bCs w:val="false"/>
          <w:iCs/>
          <w:color w:val="000000"/>
        </w:rPr>
        <w:t>1</w:t>
      </w:r>
      <w:r>
        <w:rPr>
          <w:rStyle w:val="normaltextrun"/>
          <w:rFonts w:ascii="Times New Roman" w:hAnsi="Times New Roman"/>
          <w:iCs/>
          <w:color w:val="000000"/>
        </w:rPr>
        <w:t>% (u</w:t>
      </w:r>
      <w:r>
        <w:rPr>
          <w:rStyle w:val="normaltextrun"/>
          <w:rFonts w:ascii="Times New Roman" w:hAnsi="Times New Roman"/>
          <w:b/>
          <w:bCs w:val="false"/>
          <w:iCs/>
          <w:color w:val="000000"/>
        </w:rPr>
        <w:t>m</w:t>
      </w:r>
      <w:r>
        <w:rPr>
          <w:rStyle w:val="normaltextrun"/>
          <w:rFonts w:ascii="Times New Roman" w:hAnsi="Times New Roman"/>
          <w:iCs/>
          <w:color w:val="000000"/>
        </w:rPr>
        <w:t xml:space="preserve"> por cento)</w:t>
      </w:r>
      <w:r>
        <w:rPr>
          <w:rStyle w:val="normaltextrun"/>
          <w:rFonts w:ascii="Times New Roman" w:hAnsi="Times New Roman"/>
          <w:color w:val="000000"/>
        </w:rPr>
        <w:t xml:space="preserve"> a 0</w:t>
      </w:r>
      <w:r>
        <w:rPr>
          <w:rStyle w:val="normaltextrun"/>
          <w:rFonts w:ascii="Times New Roman" w:hAnsi="Times New Roman"/>
          <w:b/>
          <w:bCs w:val="false"/>
          <w:iCs/>
          <w:color w:val="000000"/>
        </w:rPr>
        <w:t>5</w:t>
      </w:r>
      <w:r>
        <w:rPr>
          <w:rStyle w:val="normaltextrun"/>
          <w:rFonts w:ascii="Times New Roman" w:hAnsi="Times New Roman"/>
          <w:iCs/>
          <w:color w:val="000000"/>
        </w:rPr>
        <w:t>% (</w:t>
      </w:r>
      <w:r>
        <w:rPr>
          <w:rStyle w:val="normaltextrun"/>
          <w:rFonts w:eastAsia="" w:ascii="Times New Roman" w:hAnsi="Times New Roman" w:eastAsiaTheme="minorEastAsia"/>
          <w:iCs/>
          <w:color w:val="000000"/>
          <w:shd w:fill="auto" w:val="clear"/>
        </w:rPr>
        <w:t>c</w:t>
      </w:r>
      <w:r>
        <w:rPr>
          <w:rStyle w:val="normaltextrun"/>
          <w:rFonts w:eastAsia="" w:ascii="Times New Roman" w:hAnsi="Times New Roman" w:eastAsiaTheme="minorEastAsia"/>
          <w:b/>
          <w:bCs w:val="false"/>
          <w:iCs/>
          <w:color w:val="000000"/>
          <w:shd w:fill="auto" w:val="clear"/>
        </w:rPr>
        <w:t>inco</w:t>
      </w:r>
      <w:r>
        <w:rPr>
          <w:rStyle w:val="normaltextrun"/>
          <w:rFonts w:eastAsia="" w:ascii="Times New Roman" w:hAnsi="Times New Roman" w:eastAsiaTheme="minorEastAsia"/>
          <w:iCs/>
          <w:color w:val="000000"/>
          <w:shd w:fill="auto" w:val="clear"/>
        </w:rPr>
        <w:t xml:space="preserve"> por cento)</w:t>
      </w:r>
      <w:r>
        <w:rPr>
          <w:rStyle w:val="normaltextrun"/>
          <w:rFonts w:eastAsia="" w:ascii="Times New Roman" w:hAnsi="Times New Roman" w:eastAsiaTheme="minorEastAsia"/>
          <w:color w:val="000000"/>
          <w:shd w:fill="auto" w:val="clear"/>
        </w:rPr>
        <w:t xml:space="preserve"> do valor da contratação.</w:t>
      </w:r>
    </w:p>
    <w:p>
      <w:pPr>
        <w:pStyle w:val="Normal"/>
        <w:numPr>
          <w:ilvl w:val="3"/>
          <w:numId w:val="196"/>
        </w:numPr>
        <w:ind w:hanging="0" w:left="567"/>
        <w:rPr/>
      </w:pPr>
      <w:r>
        <w:rPr>
          <w:rStyle w:val="normaltextrun"/>
          <w:rFonts w:eastAsia="" w:ascii="Times New Roman" w:hAnsi="Times New Roman" w:eastAsiaTheme="minorEastAsia"/>
          <w:bCs w:val="false"/>
          <w:color w:val="000000"/>
          <w:shd w:fill="auto" w:val="clear"/>
        </w:rPr>
        <w:t>Compensatória</w:t>
      </w:r>
      <w:r>
        <w:rPr>
          <w:rStyle w:val="normaltextrun"/>
          <w:rFonts w:eastAsia="" w:ascii="Times New Roman" w:hAnsi="Times New Roman" w:eastAsiaTheme="minorEastAsia"/>
          <w:color w:val="000000"/>
          <w:shd w:fill="auto" w:val="clear"/>
        </w:rPr>
        <w:t>, em substituição à multa moratória para a infração descrita acima na alínea “d”, de 0</w:t>
      </w:r>
      <w:r>
        <w:rPr>
          <w:rStyle w:val="normaltextrun"/>
          <w:rFonts w:eastAsia="" w:ascii="Times New Roman" w:hAnsi="Times New Roman" w:eastAsiaTheme="minorEastAsia"/>
          <w:b/>
          <w:bCs w:val="false"/>
          <w:iCs/>
          <w:color w:val="000000"/>
          <w:shd w:fill="auto" w:val="clear"/>
        </w:rPr>
        <w:t>2</w:t>
      </w:r>
      <w:r>
        <w:rPr>
          <w:rStyle w:val="normaltextrun"/>
          <w:rFonts w:eastAsia="" w:ascii="Times New Roman" w:hAnsi="Times New Roman" w:eastAsiaTheme="minorEastAsia"/>
          <w:iCs/>
          <w:color w:val="000000"/>
          <w:shd w:fill="auto" w:val="clear"/>
        </w:rPr>
        <w:t>% (d</w:t>
      </w:r>
      <w:r>
        <w:rPr>
          <w:rStyle w:val="normaltextrun"/>
          <w:rFonts w:eastAsia="" w:ascii="Times New Roman" w:hAnsi="Times New Roman" w:eastAsiaTheme="minorEastAsia"/>
          <w:b/>
          <w:bCs w:val="false"/>
          <w:iCs/>
          <w:color w:val="000000"/>
          <w:shd w:fill="auto" w:val="clear"/>
        </w:rPr>
        <w:t>ois</w:t>
      </w:r>
      <w:r>
        <w:rPr>
          <w:rStyle w:val="normaltextrun"/>
          <w:rFonts w:eastAsia="" w:ascii="Times New Roman" w:hAnsi="Times New Roman" w:eastAsiaTheme="minorEastAsia"/>
          <w:iCs/>
          <w:color w:val="000000"/>
          <w:shd w:fill="auto" w:val="clear"/>
        </w:rPr>
        <w:t xml:space="preserve"> por cento)</w:t>
      </w:r>
      <w:r>
        <w:rPr>
          <w:rStyle w:val="normaltextrun"/>
          <w:rFonts w:eastAsia="" w:ascii="Times New Roman" w:hAnsi="Times New Roman" w:eastAsiaTheme="minorEastAsia"/>
          <w:color w:val="000000"/>
          <w:shd w:fill="auto" w:val="clear"/>
        </w:rPr>
        <w:t xml:space="preserve"> a 0</w:t>
      </w:r>
      <w:r>
        <w:rPr>
          <w:rStyle w:val="normaltextrun"/>
          <w:rFonts w:eastAsia="" w:ascii="Times New Roman" w:hAnsi="Times New Roman" w:eastAsiaTheme="minorEastAsia"/>
          <w:b/>
          <w:bCs w:val="false"/>
          <w:iCs/>
          <w:color w:val="000000"/>
          <w:shd w:fill="auto" w:val="clear"/>
        </w:rPr>
        <w:t>6</w:t>
      </w:r>
      <w:r>
        <w:rPr>
          <w:rStyle w:val="normaltextrun"/>
          <w:rFonts w:eastAsia="" w:ascii="Times New Roman" w:hAnsi="Times New Roman" w:eastAsiaTheme="minorEastAsia"/>
          <w:iCs/>
          <w:color w:val="000000"/>
          <w:shd w:fill="auto" w:val="clear"/>
        </w:rPr>
        <w:t>% (e</w:t>
      </w:r>
      <w:r>
        <w:rPr>
          <w:rStyle w:val="normaltextrun"/>
          <w:rFonts w:eastAsia="" w:ascii="Times New Roman" w:hAnsi="Times New Roman" w:eastAsiaTheme="minorEastAsia"/>
          <w:b/>
          <w:bCs w:val="false"/>
          <w:iCs/>
          <w:color w:val="000000"/>
          <w:shd w:fill="auto" w:val="clear"/>
        </w:rPr>
        <w:t>is</w:t>
      </w:r>
      <w:r>
        <w:rPr>
          <w:rStyle w:val="normaltextrun"/>
          <w:rFonts w:eastAsia="" w:ascii="Times New Roman" w:hAnsi="Times New Roman" w:eastAsiaTheme="minorEastAsia"/>
          <w:iCs/>
          <w:color w:val="000000"/>
          <w:shd w:fill="auto" w:val="clear"/>
        </w:rPr>
        <w:t xml:space="preserve"> por cento)</w:t>
      </w:r>
      <w:r>
        <w:rPr>
          <w:rStyle w:val="normaltextrun"/>
          <w:rFonts w:eastAsia="" w:ascii="Times New Roman" w:hAnsi="Times New Roman" w:eastAsiaTheme="minorEastAsia"/>
          <w:color w:val="000000"/>
          <w:shd w:fill="auto" w:val="clear"/>
        </w:rPr>
        <w:t xml:space="preserve"> do valor da contratação.</w:t>
      </w:r>
    </w:p>
    <w:p>
      <w:pPr>
        <w:pStyle w:val="Normal"/>
        <w:numPr>
          <w:ilvl w:val="3"/>
          <w:numId w:val="197"/>
        </w:numPr>
        <w:ind w:hanging="0" w:left="567"/>
        <w:rPr/>
      </w:pPr>
      <w:r>
        <w:rPr>
          <w:rStyle w:val="normaltextrun"/>
          <w:rFonts w:eastAsia="" w:ascii="Times New Roman" w:hAnsi="Times New Roman" w:eastAsiaTheme="minorEastAsia"/>
          <w:bCs w:val="false"/>
          <w:color w:val="000000"/>
          <w:shd w:fill="auto" w:val="clear"/>
        </w:rPr>
        <w:t>Compensatória</w:t>
      </w:r>
      <w:r>
        <w:rPr>
          <w:rStyle w:val="normaltextrun"/>
          <w:rFonts w:eastAsia="" w:ascii="Times New Roman" w:hAnsi="Times New Roman" w:eastAsiaTheme="minorEastAsia"/>
          <w:color w:val="000000"/>
          <w:shd w:fill="auto" w:val="clear"/>
        </w:rPr>
        <w:t>, para a infração descrita acima na alínea “</w:t>
      </w:r>
      <w:r>
        <w:rPr>
          <w:rStyle w:val="normaltextrun"/>
          <w:rFonts w:eastAsia="" w:ascii="Times New Roman" w:hAnsi="Times New Roman" w:eastAsiaTheme="minorEastAsia"/>
          <w:b/>
          <w:color w:val="000000"/>
          <w:shd w:fill="auto" w:val="clear"/>
        </w:rPr>
        <w:t>a</w:t>
      </w:r>
      <w:r>
        <w:rPr>
          <w:rStyle w:val="normaltextrun"/>
          <w:rFonts w:eastAsia="" w:ascii="Times New Roman" w:hAnsi="Times New Roman" w:eastAsiaTheme="minorEastAsia"/>
          <w:color w:val="000000"/>
          <w:shd w:fill="auto" w:val="clear"/>
        </w:rPr>
        <w:t>”, de 0</w:t>
      </w:r>
      <w:r>
        <w:rPr>
          <w:rStyle w:val="normaltextrun"/>
          <w:rFonts w:eastAsia="" w:ascii="Times New Roman" w:hAnsi="Times New Roman" w:eastAsiaTheme="minorEastAsia"/>
          <w:b/>
          <w:bCs w:val="false"/>
          <w:iCs/>
          <w:color w:val="000000"/>
          <w:shd w:fill="auto" w:val="clear"/>
        </w:rPr>
        <w:t>2</w:t>
      </w:r>
      <w:r>
        <w:rPr>
          <w:rStyle w:val="normaltextrun"/>
          <w:rFonts w:eastAsia="" w:ascii="Times New Roman" w:hAnsi="Times New Roman" w:eastAsiaTheme="minorEastAsia"/>
          <w:iCs/>
          <w:color w:val="000000"/>
          <w:shd w:fill="auto" w:val="clear"/>
        </w:rPr>
        <w:t>% (d</w:t>
      </w:r>
      <w:r>
        <w:rPr>
          <w:rStyle w:val="normaltextrun"/>
          <w:rFonts w:eastAsia="" w:ascii="Times New Roman" w:hAnsi="Times New Roman" w:eastAsiaTheme="minorEastAsia"/>
          <w:b/>
          <w:bCs w:val="false"/>
          <w:iCs/>
          <w:color w:val="000000"/>
          <w:shd w:fill="auto" w:val="clear"/>
        </w:rPr>
        <w:t>ois</w:t>
      </w:r>
      <w:r>
        <w:rPr>
          <w:rStyle w:val="normaltextrun"/>
          <w:rFonts w:eastAsia="" w:ascii="Times New Roman" w:hAnsi="Times New Roman" w:eastAsiaTheme="minorEastAsia"/>
          <w:iCs/>
          <w:color w:val="000000"/>
          <w:shd w:fill="auto" w:val="clear"/>
        </w:rPr>
        <w:t xml:space="preserve"> por cento)</w:t>
      </w:r>
      <w:r>
        <w:rPr>
          <w:rStyle w:val="normaltextrun"/>
          <w:rFonts w:eastAsia="" w:ascii="Times New Roman" w:hAnsi="Times New Roman" w:eastAsiaTheme="minorEastAsia"/>
          <w:color w:val="000000"/>
          <w:shd w:fill="auto" w:val="clear"/>
        </w:rPr>
        <w:t xml:space="preserve"> a 0</w:t>
      </w:r>
      <w:r>
        <w:rPr>
          <w:rStyle w:val="normaltextrun"/>
          <w:rFonts w:eastAsia="" w:ascii="Times New Roman" w:hAnsi="Times New Roman" w:eastAsiaTheme="minorEastAsia"/>
          <w:b/>
          <w:bCs w:val="false"/>
          <w:iCs/>
          <w:color w:val="000000"/>
          <w:shd w:fill="auto" w:val="clear"/>
        </w:rPr>
        <w:t>5</w:t>
      </w:r>
      <w:r>
        <w:rPr>
          <w:rStyle w:val="normaltextrun"/>
          <w:rFonts w:eastAsia="" w:ascii="Times New Roman" w:hAnsi="Times New Roman" w:eastAsiaTheme="minorEastAsia"/>
          <w:iCs/>
          <w:color w:val="000000"/>
          <w:shd w:fill="auto" w:val="clear"/>
        </w:rPr>
        <w:t>% (c</w:t>
      </w:r>
      <w:r>
        <w:rPr>
          <w:rStyle w:val="normaltextrun"/>
          <w:rFonts w:eastAsia="" w:ascii="Times New Roman" w:hAnsi="Times New Roman" w:eastAsiaTheme="minorEastAsia"/>
          <w:b/>
          <w:bCs w:val="false"/>
          <w:iCs/>
          <w:color w:val="000000"/>
          <w:shd w:fill="auto" w:val="clear"/>
        </w:rPr>
        <w:t>inco</w:t>
      </w:r>
      <w:r>
        <w:rPr>
          <w:rStyle w:val="normaltextrun"/>
          <w:rFonts w:eastAsia="" w:ascii="Times New Roman" w:hAnsi="Times New Roman" w:eastAsiaTheme="minorEastAsia"/>
          <w:iCs/>
          <w:color w:val="000000"/>
          <w:shd w:fill="auto" w:val="clear"/>
        </w:rPr>
        <w:t xml:space="preserve"> por cento)</w:t>
      </w:r>
      <w:r>
        <w:rPr>
          <w:rStyle w:val="normaltextrun"/>
          <w:rFonts w:eastAsia="" w:ascii="Times New Roman" w:hAnsi="Times New Roman" w:eastAsiaTheme="minorEastAsia"/>
          <w:color w:val="000000"/>
          <w:shd w:fill="auto" w:val="clear"/>
        </w:rPr>
        <w:t xml:space="preserve"> do valor da contratação.</w:t>
      </w:r>
    </w:p>
    <w:p>
      <w:pPr>
        <w:pStyle w:val="Normal"/>
        <w:numPr>
          <w:ilvl w:val="1"/>
          <w:numId w:val="1"/>
        </w:numPr>
        <w:ind w:hanging="0" w:left="567"/>
        <w:rPr/>
      </w:pPr>
      <w:r>
        <w:rPr>
          <w:rStyle w:val="normaltextrun"/>
          <w:rFonts w:ascii="Times New Roman" w:hAnsi="Times New Roman"/>
          <w:color w:val="000000"/>
        </w:rPr>
        <w:t xml:space="preserve">A aplicação das sanções previstas neste </w:t>
      </w:r>
      <w:r>
        <w:rPr>
          <w:rFonts w:ascii="Times New Roman" w:hAnsi="Times New Roman"/>
          <w:color w:val="000000"/>
        </w:rPr>
        <w:t xml:space="preserve">Termo de Referência </w:t>
      </w:r>
      <w:r>
        <w:rPr>
          <w:rStyle w:val="normaltextrun"/>
          <w:rFonts w:ascii="Times New Roman" w:hAnsi="Times New Roman"/>
          <w:color w:val="000000"/>
        </w:rPr>
        <w:t>não exclui, em hipótese alguma, a obrigação de reparação integral do dano causado ao Contratante.</w:t>
      </w:r>
    </w:p>
    <w:p>
      <w:pPr>
        <w:pStyle w:val="Normal"/>
        <w:numPr>
          <w:ilvl w:val="1"/>
          <w:numId w:val="1"/>
        </w:numPr>
        <w:ind w:hanging="0" w:left="567"/>
        <w:rPr/>
      </w:pPr>
      <w:r>
        <w:rPr>
          <w:rStyle w:val="normaltextrun"/>
          <w:rFonts w:ascii="Times New Roman" w:hAnsi="Times New Roman"/>
          <w:color w:val="000000"/>
        </w:rPr>
        <w:t xml:space="preserve">Todas as sanções previstas neste </w:t>
      </w:r>
      <w:r>
        <w:rPr>
          <w:rFonts w:ascii="Times New Roman" w:hAnsi="Times New Roman"/>
          <w:color w:val="000000"/>
        </w:rPr>
        <w:t>Termo de Referência</w:t>
      </w:r>
      <w:r>
        <w:rPr>
          <w:rStyle w:val="normaltextrun"/>
          <w:rFonts w:ascii="Times New Roman" w:hAnsi="Times New Roman"/>
          <w:color w:val="000000"/>
        </w:rPr>
        <w:t xml:space="preserve"> poderão ser aplicadas cumulativamente com a multa.</w:t>
      </w:r>
    </w:p>
    <w:p>
      <w:pPr>
        <w:pStyle w:val="Normal"/>
        <w:numPr>
          <w:ilvl w:val="1"/>
          <w:numId w:val="1"/>
        </w:numPr>
        <w:ind w:hanging="0" w:left="567"/>
        <w:rPr/>
      </w:pPr>
      <w:r>
        <w:rPr>
          <w:rFonts w:ascii="Times New Roman" w:hAnsi="Times New Roman"/>
          <w:color w:val="000000"/>
        </w:rPr>
        <w:t xml:space="preserve">Antes da aplicação da </w:t>
      </w:r>
      <w:r>
        <w:rPr>
          <w:rStyle w:val="normaltextrun"/>
          <w:rFonts w:ascii="Times New Roman" w:hAnsi="Times New Roman"/>
          <w:color w:val="000000"/>
        </w:rPr>
        <w:t>multa</w:t>
      </w:r>
      <w:r>
        <w:rPr>
          <w:rFonts w:ascii="Times New Roman" w:hAnsi="Times New Roman"/>
          <w:color w:val="000000"/>
        </w:rPr>
        <w:t xml:space="preserve"> será facultada a defesa do interessado no prazo de 15 (quinze) dias úteis, contado da data de sua intimação</w:t>
      </w:r>
      <w:r>
        <w:rPr>
          <w:rStyle w:val="normaltextrun"/>
          <w:rFonts w:ascii="Times New Roman" w:hAnsi="Times New Roman"/>
          <w:color w:val="000000"/>
        </w:rPr>
        <w:t>.</w:t>
      </w:r>
    </w:p>
    <w:p>
      <w:pPr>
        <w:pStyle w:val="Normal"/>
        <w:numPr>
          <w:ilvl w:val="1"/>
          <w:numId w:val="1"/>
        </w:numPr>
        <w:ind w:hanging="0" w:left="567"/>
        <w:rPr/>
      </w:pPr>
      <w:r>
        <w:rPr>
          <w:rStyle w:val="normaltextrun"/>
          <w:rFonts w:ascii="Times New Roman" w:hAnsi="Times New Roman"/>
          <w:color w:val="000000"/>
        </w:rPr>
        <w:t xml:space="preserve">Se a multa aplicada e as indenizações cabíveis forem superiores ao valor do pagamento </w:t>
      </w:r>
      <w:r>
        <w:rPr>
          <w:rFonts w:ascii="Times New Roman" w:hAnsi="Times New Roman"/>
          <w:color w:val="000000"/>
        </w:rPr>
        <w:t>eventualmente</w:t>
      </w:r>
      <w:r>
        <w:rPr>
          <w:rStyle w:val="normaltextrun"/>
          <w:rFonts w:ascii="Times New Roman" w:hAnsi="Times New Roman"/>
          <w:color w:val="000000"/>
        </w:rPr>
        <w:t xml:space="preserve"> devido pelo Contratante ao Contratado, além da perda desse valor, a diferença será descontada da garantia prestada ou será cobrada judicialmente.</w:t>
      </w:r>
    </w:p>
    <w:p>
      <w:pPr>
        <w:pStyle w:val="Normal"/>
        <w:numPr>
          <w:ilvl w:val="1"/>
          <w:numId w:val="1"/>
        </w:numPr>
        <w:ind w:hanging="0" w:left="567"/>
        <w:rPr/>
      </w:pPr>
      <w:r>
        <w:rPr>
          <w:rStyle w:val="normaltextrun"/>
          <w:rFonts w:ascii="Times New Roman" w:hAnsi="Times New Roman"/>
          <w:color w:val="000000"/>
        </w:rPr>
        <w:t xml:space="preserve">A multa poderá ser recolhida </w:t>
      </w:r>
      <w:r>
        <w:rPr>
          <w:rFonts w:ascii="Times New Roman" w:hAnsi="Times New Roman"/>
          <w:color w:val="000000"/>
        </w:rPr>
        <w:t>administrativamente</w:t>
      </w:r>
      <w:r>
        <w:rPr>
          <w:rStyle w:val="normaltextrun"/>
          <w:rFonts w:ascii="Times New Roman" w:hAnsi="Times New Roman"/>
          <w:color w:val="000000"/>
        </w:rPr>
        <w:t xml:space="preserve"> no prazo máximo de 1</w:t>
      </w:r>
      <w:r>
        <w:rPr>
          <w:rStyle w:val="normaltextrun"/>
          <w:rFonts w:ascii="Times New Roman" w:hAnsi="Times New Roman"/>
          <w:i/>
          <w:iCs w:val="false"/>
          <w:color w:val="000000"/>
        </w:rPr>
        <w:t>0</w:t>
      </w:r>
      <w:r>
        <w:rPr>
          <w:rStyle w:val="normaltextrun"/>
          <w:rFonts w:ascii="Times New Roman" w:hAnsi="Times New Roman"/>
          <w:color w:val="000000"/>
        </w:rPr>
        <w:t xml:space="preserve"> (d</w:t>
      </w:r>
      <w:r>
        <w:rPr>
          <w:rStyle w:val="normaltextrun"/>
          <w:rFonts w:ascii="Times New Roman" w:hAnsi="Times New Roman"/>
          <w:i/>
          <w:iCs w:val="false"/>
          <w:color w:val="000000"/>
        </w:rPr>
        <w:t>ez</w:t>
      </w:r>
      <w:r>
        <w:rPr>
          <w:rStyle w:val="normaltextrun"/>
          <w:rFonts w:ascii="Times New Roman" w:hAnsi="Times New Roman"/>
          <w:color w:val="000000"/>
        </w:rPr>
        <w:t>) dias, a contar da data do recebimento da comunicação enviada pela autoridade competente.</w:t>
      </w:r>
    </w:p>
    <w:p>
      <w:pPr>
        <w:pStyle w:val="Normal"/>
        <w:numPr>
          <w:ilvl w:val="1"/>
          <w:numId w:val="1"/>
        </w:numPr>
        <w:ind w:hanging="0" w:left="567"/>
        <w:rPr/>
      </w:pPr>
      <w:r>
        <w:rPr>
          <w:rStyle w:val="normaltextrun"/>
          <w:rFonts w:ascii="Times New Roman" w:hAnsi="Times New Roman"/>
          <w:color w:val="000000"/>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pPr>
        <w:pStyle w:val="Normal"/>
        <w:numPr>
          <w:ilvl w:val="2"/>
          <w:numId w:val="198"/>
        </w:numPr>
        <w:ind w:hanging="0" w:left="567"/>
        <w:rPr/>
      </w:pPr>
      <w:r>
        <w:rPr>
          <w:rStyle w:val="normaltextrun"/>
          <w:rFonts w:ascii="Times New Roman" w:hAnsi="Times New Roman"/>
          <w:color w:val="000000"/>
        </w:rPr>
        <w:t>Para a garantia da ampla defesa e contraditório, as notificações serão enviadas eletronicamente para os endereços de e-mail informados na proposta comercial, bem como os cadastrados pela empresa no SICAF.</w:t>
      </w:r>
    </w:p>
    <w:p>
      <w:pPr>
        <w:pStyle w:val="Normal"/>
        <w:numPr>
          <w:ilvl w:val="2"/>
          <w:numId w:val="199"/>
        </w:numPr>
        <w:ind w:hanging="0" w:left="567"/>
        <w:rPr/>
      </w:pPr>
      <w:r>
        <w:rPr>
          <w:rStyle w:val="normaltextrun"/>
          <w:rFonts w:ascii="Times New Roman" w:hAnsi="Times New Roman"/>
          <w:color w:val="000000"/>
        </w:rPr>
        <w:t>Os endereços de e-mail informados na proposta comercial e/ou cadastrados no Sicaf serão considerados de uso contínuo da empresa, não cabendo alegação de desconhecimento das comunicações a eles comprovadamente enviadas.</w:t>
      </w:r>
    </w:p>
    <w:p>
      <w:pPr>
        <w:pStyle w:val="Normal"/>
        <w:numPr>
          <w:ilvl w:val="1"/>
          <w:numId w:val="1"/>
        </w:numPr>
        <w:ind w:hanging="0" w:left="567"/>
        <w:rPr/>
      </w:pPr>
      <w:r>
        <w:rPr>
          <w:rStyle w:val="normaltextrun"/>
          <w:rFonts w:ascii="Times New Roman" w:hAnsi="Times New Roman"/>
          <w:color w:val="000000"/>
        </w:rPr>
        <w:t xml:space="preserve">Na aplicação </w:t>
      </w:r>
      <w:r>
        <w:rPr>
          <w:rFonts w:ascii="Times New Roman" w:hAnsi="Times New Roman"/>
          <w:color w:val="000000"/>
        </w:rPr>
        <w:t>das</w:t>
      </w:r>
      <w:r>
        <w:rPr>
          <w:rStyle w:val="normaltextrun"/>
          <w:rFonts w:ascii="Times New Roman" w:hAnsi="Times New Roman"/>
          <w:color w:val="000000"/>
        </w:rPr>
        <w:t xml:space="preserve"> sanções serão considerados:</w:t>
      </w:r>
    </w:p>
    <w:p>
      <w:pPr>
        <w:pStyle w:val="Normal"/>
        <w:numPr>
          <w:ilvl w:val="2"/>
          <w:numId w:val="200"/>
        </w:numPr>
        <w:ind w:hanging="0" w:left="567"/>
        <w:rPr/>
      </w:pPr>
      <w:r>
        <w:rPr>
          <w:rStyle w:val="normaltextrun"/>
          <w:rFonts w:cs="Arial" w:ascii="Times New Roman" w:hAnsi="Times New Roman"/>
          <w:color w:val="000000"/>
          <w:szCs w:val="20"/>
        </w:rPr>
        <w:t>a natureza e a gravidade da infração cometida;</w:t>
      </w:r>
    </w:p>
    <w:p>
      <w:pPr>
        <w:pStyle w:val="Normal"/>
        <w:numPr>
          <w:ilvl w:val="2"/>
          <w:numId w:val="201"/>
        </w:numPr>
        <w:ind w:hanging="0" w:left="567"/>
        <w:rPr/>
      </w:pPr>
      <w:r>
        <w:rPr>
          <w:rStyle w:val="normaltextrun"/>
          <w:rFonts w:cs="Arial" w:ascii="Times New Roman" w:hAnsi="Times New Roman"/>
          <w:color w:val="000000"/>
          <w:szCs w:val="20"/>
        </w:rPr>
        <w:t>as peculiaridades do caso concreto;</w:t>
      </w:r>
    </w:p>
    <w:p>
      <w:pPr>
        <w:pStyle w:val="Normal"/>
        <w:numPr>
          <w:ilvl w:val="2"/>
          <w:numId w:val="202"/>
        </w:numPr>
        <w:ind w:hanging="0" w:left="567"/>
        <w:rPr/>
      </w:pPr>
      <w:r>
        <w:rPr>
          <w:rStyle w:val="normaltextrun"/>
          <w:rFonts w:cs="Arial" w:ascii="Times New Roman" w:hAnsi="Times New Roman"/>
          <w:color w:val="000000"/>
          <w:szCs w:val="20"/>
        </w:rPr>
        <w:t>as circunstâncias agravantes ou atenuantes;</w:t>
      </w:r>
    </w:p>
    <w:p>
      <w:pPr>
        <w:pStyle w:val="Normal"/>
        <w:numPr>
          <w:ilvl w:val="2"/>
          <w:numId w:val="203"/>
        </w:numPr>
        <w:ind w:hanging="0" w:left="567"/>
        <w:rPr/>
      </w:pPr>
      <w:r>
        <w:rPr>
          <w:rStyle w:val="normaltextrun"/>
          <w:rFonts w:cs="Arial" w:ascii="Times New Roman" w:hAnsi="Times New Roman"/>
          <w:color w:val="000000"/>
          <w:szCs w:val="20"/>
        </w:rPr>
        <w:t>os danos que dela provierem para o Contratante; e</w:t>
      </w:r>
    </w:p>
    <w:p>
      <w:pPr>
        <w:pStyle w:val="Normal"/>
        <w:numPr>
          <w:ilvl w:val="2"/>
          <w:numId w:val="204"/>
        </w:numPr>
        <w:ind w:hanging="0" w:left="567"/>
        <w:rPr/>
      </w:pPr>
      <w:r>
        <w:rPr>
          <w:rStyle w:val="normaltextrun"/>
          <w:rFonts w:cs="Arial" w:ascii="Times New Roman" w:hAnsi="Times New Roman"/>
          <w:color w:val="000000"/>
          <w:szCs w:val="20"/>
        </w:rPr>
        <w:t>a implantação ou o aperfeiçoamento de programa de integridade, conforme normas e orientações dos órgãos de controle.</w:t>
      </w:r>
    </w:p>
    <w:p>
      <w:pPr>
        <w:pStyle w:val="Normal"/>
        <w:numPr>
          <w:ilvl w:val="1"/>
          <w:numId w:val="1"/>
        </w:numPr>
        <w:ind w:hanging="0" w:left="567"/>
        <w:rPr/>
      </w:pPr>
      <w:r>
        <w:rPr>
          <w:rStyle w:val="normaltextrun"/>
          <w:rFonts w:ascii="Times New Roman" w:hAnsi="Times New Roman"/>
          <w:color w:val="000000"/>
        </w:rPr>
        <w:t xml:space="preserve">Os atos previstos como infrações administrativas na Lei nº 14.133, de 2021, ou em outras leis de licitações e contratos da </w:t>
      </w:r>
      <w:r>
        <w:rPr>
          <w:rFonts w:ascii="Times New Roman" w:hAnsi="Times New Roman"/>
          <w:color w:val="000000"/>
        </w:rPr>
        <w:t>Administração</w:t>
      </w:r>
      <w:r>
        <w:rPr>
          <w:rStyle w:val="normaltextrun"/>
          <w:rFonts w:ascii="Times New Roman" w:hAnsi="Times New Roman"/>
          <w:color w:val="000000"/>
        </w:rPr>
        <w:t xml:space="preserve"> Pública que também sejam tipificados como atos lesivos na Lei nº 12.846, de 2013, serão apurados e julgados conjuntamente, nos mesmos autos, observados o rito procedimental e autoridade competente definidos na referida Lei.</w:t>
      </w:r>
    </w:p>
    <w:p>
      <w:pPr>
        <w:pStyle w:val="Normal"/>
        <w:numPr>
          <w:ilvl w:val="1"/>
          <w:numId w:val="1"/>
        </w:numPr>
        <w:ind w:hanging="0" w:left="567"/>
        <w:rPr/>
      </w:pPr>
      <w:r>
        <w:rPr>
          <w:rStyle w:val="normaltextrun"/>
          <w:rFonts w:ascii="Times New Roman" w:hAnsi="Times New Roman"/>
          <w:color w:val="000000"/>
        </w:rPr>
        <w:t xml:space="preserve">A personalidade jurídica do Contratado poderá ser desconsiderada sempre que utilizada com abuso do direito para facilitar, encobrir ou dissimular a prática dos atos ilícitos previstos </w:t>
      </w:r>
      <w:r>
        <w:rPr>
          <w:rFonts w:ascii="Times New Roman" w:hAnsi="Times New Roman"/>
          <w:color w:val="000000"/>
        </w:rPr>
        <w:t>neste Termo de Referência</w:t>
      </w:r>
      <w:r>
        <w:rPr>
          <w:rStyle w:val="normaltextrun"/>
          <w:rFonts w:ascii="Times New Roman" w:hAnsi="Times New Roman"/>
          <w:color w:val="000000"/>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pPr>
        <w:pStyle w:val="Normal"/>
        <w:numPr>
          <w:ilvl w:val="1"/>
          <w:numId w:val="1"/>
        </w:numPr>
        <w:ind w:hanging="0" w:left="567"/>
        <w:rPr/>
      </w:pPr>
      <w:r>
        <w:rPr>
          <w:rStyle w:val="normaltextrun"/>
          <w:rFonts w:ascii="Times New Roman" w:hAnsi="Times New Roman"/>
          <w:color w:val="000000"/>
        </w:rPr>
        <w:t xml:space="preserve">O Contratante deverá, no prazo máximo de 15 (quinze) dias úteis, contado da data de aplicação da sanção, </w:t>
      </w:r>
      <w:r>
        <w:rPr>
          <w:rFonts w:ascii="Times New Roman" w:hAnsi="Times New Roman"/>
          <w:color w:val="000000"/>
        </w:rPr>
        <w:t>informar</w:t>
      </w:r>
      <w:r>
        <w:rPr>
          <w:rStyle w:val="normaltextrun"/>
          <w:rFonts w:ascii="Times New Roman" w:hAnsi="Times New Roman"/>
          <w:color w:val="000000"/>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pPr>
        <w:pStyle w:val="Normal"/>
        <w:numPr>
          <w:ilvl w:val="1"/>
          <w:numId w:val="1"/>
        </w:numPr>
        <w:ind w:hanging="0" w:left="567"/>
        <w:rPr/>
      </w:pPr>
      <w:r>
        <w:rPr>
          <w:rStyle w:val="normaltextrun"/>
          <w:rFonts w:ascii="Times New Roman" w:hAnsi="Times New Roman"/>
          <w:color w:val="000000"/>
        </w:rPr>
        <w:t xml:space="preserve">As sanções de impedimento de licitar e contratar e declaração de inidoneidade para licitar ou contratar são passíveis </w:t>
      </w:r>
      <w:r>
        <w:rPr>
          <w:rFonts w:ascii="Times New Roman" w:hAnsi="Times New Roman"/>
          <w:color w:val="000000"/>
        </w:rPr>
        <w:t>de</w:t>
      </w:r>
      <w:r>
        <w:rPr>
          <w:rStyle w:val="normaltextrun"/>
          <w:rFonts w:ascii="Times New Roman" w:hAnsi="Times New Roman"/>
          <w:color w:val="000000"/>
        </w:rPr>
        <w:t xml:space="preserve"> reabilitação na forma do art. 163 da Lei nº 14.133, de 2021.</w:t>
      </w:r>
    </w:p>
    <w:p>
      <w:pPr>
        <w:pStyle w:val="Normal"/>
        <w:numPr>
          <w:ilvl w:val="1"/>
          <w:numId w:val="1"/>
        </w:numPr>
        <w:ind w:hanging="0" w:left="567"/>
        <w:rPr/>
      </w:pPr>
      <w:r>
        <w:rPr>
          <w:rFonts w:ascii="Times New Roman" w:hAnsi="Times New Roman"/>
          <w:color w:val="000000"/>
        </w:rPr>
        <w:t>Os</w:t>
      </w:r>
      <w:r>
        <w:rPr>
          <w:rStyle w:val="normaltextrun"/>
          <w:rFonts w:ascii="Times New Roman" w:hAnsi="Times New Roman"/>
          <w:color w:val="000000"/>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pPr>
        <w:pStyle w:val="Normal"/>
        <w:ind w:hanging="0" w:left="567"/>
        <w:rPr>
          <w:rStyle w:val="normaltextrun"/>
          <w:rFonts w:ascii="Times New Roman" w:hAnsi="Times New Roman"/>
          <w:color w:val="000000"/>
        </w:rPr>
      </w:pPr>
      <w:r>
        <w:rPr>
          <w:rFonts w:ascii="Times New Roman" w:hAnsi="Times New Roman"/>
          <w:color w:val="000000"/>
        </w:rPr>
      </w:r>
    </w:p>
    <w:p>
      <w:pPr>
        <w:pStyle w:val="Normal"/>
        <w:numPr>
          <w:ilvl w:val="0"/>
          <w:numId w:val="1"/>
        </w:numPr>
        <w:ind w:hanging="357" w:left="567"/>
        <w:rPr>
          <w:b/>
          <w:bCs/>
        </w:rPr>
      </w:pPr>
      <w:r>
        <w:rPr>
          <w:rFonts w:ascii="Times New Roman" w:hAnsi="Times New Roman"/>
          <w:b/>
          <w:bCs/>
          <w:color w:val="000000"/>
        </w:rPr>
        <w:t>FORMA E CRITÉRIOS DE SELEÇÃO DO FORNECEDOR E REGIME DE EXECUÇÃO</w:t>
      </w:r>
    </w:p>
    <w:p>
      <w:pPr>
        <w:pStyle w:val="Normal"/>
        <w:ind w:hanging="0" w:left="567"/>
        <w:rPr>
          <w:rFonts w:ascii="Times New Roman" w:hAnsi="Times New Roman"/>
          <w:color w:val="000000"/>
        </w:rPr>
      </w:pPr>
      <w:r>
        <w:rPr>
          <w:rFonts w:ascii="Times New Roman" w:hAnsi="Times New Roman"/>
          <w:color w:val="000000"/>
        </w:rPr>
        <w:t>Forma de seleção e critério de julgamento da proposta</w:t>
      </w:r>
    </w:p>
    <w:p>
      <w:pPr>
        <w:pStyle w:val="Normal"/>
        <w:numPr>
          <w:ilvl w:val="1"/>
          <w:numId w:val="1"/>
        </w:numPr>
        <w:ind w:hanging="432" w:left="567"/>
        <w:rPr>
          <w:rFonts w:ascii="Times New Roman" w:hAnsi="Times New Roman"/>
          <w:color w:val="000000"/>
        </w:rPr>
      </w:pPr>
      <w:bookmarkStart w:id="9" w:name="_Hlk171371350"/>
      <w:bookmarkStart w:id="10" w:name="_Hlk171371336"/>
      <w:r>
        <w:rPr>
          <w:rFonts w:ascii="Times New Roman" w:hAnsi="Times New Roman"/>
          <w:color w:val="000000"/>
        </w:rPr>
        <w:t>O fornecedor será selecionado por meio da realização de procedimento de LICITAÇÃO, na modalidade PREGÃO, sob a forma ELETRÔNICA, com adoção do critério de julgamento pelo MENOR PREÇO</w:t>
      </w:r>
      <w:bookmarkEnd w:id="9"/>
      <w:bookmarkEnd w:id="10"/>
      <w:r>
        <w:rPr>
          <w:rFonts w:ascii="Times New Roman" w:hAnsi="Times New Roman"/>
          <w:color w:val="000000"/>
        </w:rPr>
        <w:t>.</w:t>
      </w:r>
    </w:p>
    <w:p>
      <w:pPr>
        <w:pStyle w:val="Normal"/>
        <w:ind w:hanging="0" w:left="567"/>
        <w:rPr>
          <w:rFonts w:ascii="Times New Roman" w:hAnsi="Times New Roman"/>
          <w:color w:val="000000"/>
        </w:rPr>
      </w:pPr>
      <w:r>
        <w:rPr>
          <w:rFonts w:ascii="Times New Roman" w:hAnsi="Times New Roman"/>
          <w:color w:val="000000"/>
        </w:rPr>
        <w:t>Regime de Execução</w:t>
      </w:r>
    </w:p>
    <w:p>
      <w:pPr>
        <w:pStyle w:val="Normal"/>
        <w:ind w:hanging="0" w:left="567"/>
        <w:rPr>
          <w:rFonts w:ascii="Times New Roman" w:hAnsi="Times New Roman"/>
          <w:color w:val="000000"/>
        </w:rPr>
      </w:pPr>
      <w:r>
        <w:rPr>
          <w:rFonts w:ascii="Times New Roman" w:hAnsi="Times New Roman"/>
          <w:color w:val="000000"/>
        </w:rPr>
        <w:t>Exigências de habilitação</w:t>
      </w:r>
    </w:p>
    <w:p>
      <w:pPr>
        <w:pStyle w:val="Normal"/>
        <w:numPr>
          <w:ilvl w:val="1"/>
          <w:numId w:val="1"/>
        </w:numPr>
        <w:ind w:hanging="0" w:left="567"/>
        <w:rPr>
          <w:rFonts w:ascii="Times New Roman" w:hAnsi="Times New Roman"/>
          <w:color w:val="000000"/>
        </w:rPr>
      </w:pPr>
      <w:r>
        <w:rPr>
          <w:rFonts w:ascii="Times New Roman" w:hAnsi="Times New Roman"/>
          <w:color w:val="000000"/>
        </w:rPr>
        <w:t>Para fins de habilitação, deverá o interessado comprovar os seguintes requisitos:</w:t>
      </w:r>
    </w:p>
    <w:p>
      <w:pPr>
        <w:pStyle w:val="Normal"/>
        <w:ind w:hanging="0" w:left="567"/>
        <w:rPr>
          <w:rFonts w:ascii="Times New Roman" w:hAnsi="Times New Roman"/>
          <w:color w:val="000000"/>
        </w:rPr>
      </w:pPr>
      <w:r>
        <w:rPr>
          <w:rFonts w:ascii="Times New Roman" w:hAnsi="Times New Roman"/>
          <w:color w:val="000000"/>
        </w:rPr>
        <w:t>Habilitação jurídica</w:t>
      </w:r>
    </w:p>
    <w:p>
      <w:pPr>
        <w:pStyle w:val="Normal"/>
        <w:numPr>
          <w:ilvl w:val="1"/>
          <w:numId w:val="1"/>
        </w:numPr>
        <w:ind w:hanging="0" w:left="567"/>
        <w:rPr>
          <w:rFonts w:ascii="Times New Roman" w:hAnsi="Times New Roman"/>
          <w:color w:val="000000"/>
        </w:rPr>
      </w:pPr>
      <w:bookmarkStart w:id="11" w:name="_Ref115800561"/>
      <w:r>
        <w:rPr>
          <w:rFonts w:ascii="Times New Roman" w:hAnsi="Times New Roman"/>
          <w:color w:val="000000"/>
        </w:rPr>
        <w:t>Pessoa física: cédula de identidade (RG) ou documento equivalente que, por força de lei, tenha validade para fins de identificação em todo o território nacional;</w:t>
      </w:r>
      <w:bookmarkEnd w:id="11"/>
    </w:p>
    <w:p>
      <w:pPr>
        <w:pStyle w:val="Normal"/>
        <w:numPr>
          <w:ilvl w:val="1"/>
          <w:numId w:val="1"/>
        </w:numPr>
        <w:ind w:hanging="0" w:left="567"/>
        <w:rPr>
          <w:rFonts w:ascii="Times New Roman" w:hAnsi="Times New Roman"/>
          <w:color w:val="000000"/>
        </w:rPr>
      </w:pPr>
      <w:r>
        <w:rPr>
          <w:rFonts w:ascii="Times New Roman" w:hAnsi="Times New Roman"/>
          <w:color w:val="000000"/>
        </w:rPr>
        <w:t>Empresário individual: inscrição no Registro Público de Empresas Mercantis, a cargo da Junta Comercial da respectiva sede;</w:t>
      </w:r>
    </w:p>
    <w:p>
      <w:pPr>
        <w:pStyle w:val="Normal"/>
        <w:numPr>
          <w:ilvl w:val="1"/>
          <w:numId w:val="1"/>
        </w:numPr>
        <w:ind w:hanging="0" w:left="567"/>
        <w:rPr>
          <w:rFonts w:ascii="Times New Roman" w:hAnsi="Times New Roman"/>
          <w:color w:val="000000"/>
        </w:rPr>
      </w:pPr>
      <w:r>
        <w:rPr>
          <w:rFonts w:ascii="Times New Roman" w:hAnsi="Times New Roman"/>
          <w:color w:val="000000"/>
        </w:rPr>
        <w:t>Microempreendedor Individual - MEI: Certificado da Condição de Microempreendedor Individual - CCMEI, cuja aceitação ficará condicionada à verificação da autenticidade no sítio https://www.gov.br/empresas-e-negocios/pt-br/empreendedor;</w:t>
      </w:r>
    </w:p>
    <w:p>
      <w:pPr>
        <w:pStyle w:val="Normal"/>
        <w:numPr>
          <w:ilvl w:val="1"/>
          <w:numId w:val="1"/>
        </w:numPr>
        <w:ind w:hanging="0" w:left="567"/>
        <w:rPr>
          <w:rFonts w:ascii="Times New Roman" w:hAnsi="Times New Roman"/>
          <w:color w:val="000000"/>
        </w:rPr>
      </w:pPr>
      <w:r>
        <w:rPr>
          <w:rFonts w:ascii="Times New Roman" w:hAnsi="Times New Roman"/>
          <w:color w:val="00000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pPr>
        <w:pStyle w:val="Normal"/>
        <w:numPr>
          <w:ilvl w:val="1"/>
          <w:numId w:val="1"/>
        </w:numPr>
        <w:ind w:hanging="0" w:left="567"/>
        <w:rPr>
          <w:rFonts w:ascii="Times New Roman" w:hAnsi="Times New Roman"/>
          <w:color w:val="000000"/>
        </w:rPr>
      </w:pPr>
      <w:r>
        <w:rPr>
          <w:rFonts w:ascii="Times New Roman" w:hAnsi="Times New Roman"/>
          <w:color w:val="000000"/>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pPr>
        <w:pStyle w:val="Normal"/>
        <w:numPr>
          <w:ilvl w:val="1"/>
          <w:numId w:val="1"/>
        </w:numPr>
        <w:ind w:hanging="0" w:left="567"/>
        <w:rPr>
          <w:rFonts w:ascii="Times New Roman" w:hAnsi="Times New Roman"/>
          <w:color w:val="000000"/>
        </w:rPr>
      </w:pPr>
      <w:r>
        <w:rPr>
          <w:rFonts w:ascii="Times New Roman" w:hAnsi="Times New Roman"/>
          <w:color w:val="000000"/>
        </w:rPr>
        <w:t>Sociedade simples: inscrição do ato constitutivo no Registro Civil de Pessoas Jurídicas do local de sua sede, acompanhada de documento comprobatório de seus administradores;</w:t>
      </w:r>
    </w:p>
    <w:p>
      <w:pPr>
        <w:pStyle w:val="Normal"/>
        <w:numPr>
          <w:ilvl w:val="1"/>
          <w:numId w:val="1"/>
        </w:numPr>
        <w:ind w:hanging="0" w:left="567"/>
        <w:rPr>
          <w:rFonts w:ascii="Times New Roman" w:hAnsi="Times New Roman"/>
          <w:color w:val="000000"/>
        </w:rPr>
      </w:pPr>
      <w:r>
        <w:rPr>
          <w:rFonts w:ascii="Times New Roman" w:hAnsi="Times New Roman"/>
          <w:color w:val="000000"/>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12" w:name="_Int_ySfCXwr4"/>
      <w:r>
        <w:rPr>
          <w:rFonts w:ascii="Times New Roman" w:hAnsi="Times New Roman"/>
          <w:color w:val="000000"/>
        </w:rPr>
        <w:t>Mercantis onde</w:t>
      </w:r>
      <w:bookmarkEnd w:id="12"/>
      <w:r>
        <w:rPr>
          <w:rFonts w:ascii="Times New Roman" w:hAnsi="Times New Roman"/>
          <w:color w:val="000000"/>
        </w:rPr>
        <w:t xml:space="preserve"> opera, com averbação no Registro onde tem sede a matriz;</w:t>
      </w:r>
    </w:p>
    <w:p>
      <w:pPr>
        <w:pStyle w:val="Normal"/>
        <w:numPr>
          <w:ilvl w:val="1"/>
          <w:numId w:val="1"/>
        </w:numPr>
        <w:ind w:hanging="0" w:left="567"/>
        <w:rPr>
          <w:rFonts w:ascii="Times New Roman" w:hAnsi="Times New Roman"/>
          <w:color w:val="000000"/>
        </w:rPr>
      </w:pPr>
      <w:r>
        <w:rPr>
          <w:rFonts w:ascii="Times New Roman" w:hAnsi="Times New Roman"/>
          <w:color w:val="000000"/>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pPr>
        <w:pStyle w:val="Normal"/>
        <w:numPr>
          <w:ilvl w:val="1"/>
          <w:numId w:val="1"/>
        </w:numPr>
        <w:ind w:hanging="0" w:left="567"/>
        <w:rPr>
          <w:rFonts w:ascii="Times New Roman" w:hAnsi="Times New Roman" w:eastAsia="" w:eastAsiaTheme="minorEastAsia"/>
          <w:color w:val="000000"/>
          <w:highlight w:val="none"/>
          <w:shd w:fill="auto" w:val="clear"/>
        </w:rPr>
      </w:pPr>
      <w:r>
        <w:rPr>
          <w:rFonts w:eastAsia="" w:ascii="Times New Roman" w:hAnsi="Times New Roman" w:eastAsiaTheme="minorEastAsia"/>
          <w:color w:val="000000"/>
          <w:shd w:fill="auto" w:val="clear"/>
        </w:rPr>
        <w:t>Consórcio de empresas: contrato de consórcio devidamente arquivado no Registro Civil das Pessoas Jurídicas ou no Registro Público de Empresas Mercantis (art. 279 da Lei nº 6.404, de 15 de dezembro de 1976) ou compromisso público ou particular de constituição, subscrito pelos consorciados, com a indicação da empresa líder, responsável por sua representação perante a Administração (art. 15, caput, I e II, da Lei nº 14.133, de 2021).</w:t>
      </w:r>
    </w:p>
    <w:p>
      <w:pPr>
        <w:pStyle w:val="Normal"/>
        <w:numPr>
          <w:ilvl w:val="1"/>
          <w:numId w:val="1"/>
        </w:numPr>
        <w:ind w:hanging="0" w:left="567"/>
        <w:rPr>
          <w:rFonts w:ascii="Times New Roman" w:hAnsi="Times New Roman"/>
          <w:color w:val="000000"/>
        </w:rPr>
      </w:pPr>
      <w:r>
        <w:rPr>
          <w:rFonts w:ascii="Times New Roman" w:hAnsi="Times New Roman"/>
          <w:color w:val="000000"/>
        </w:rPr>
        <w:t>Os documentos apresentados deverão estar acompanhados de todas as alterações ou da consolidação respectiva.</w:t>
      </w:r>
    </w:p>
    <w:p>
      <w:pPr>
        <w:pStyle w:val="Normal"/>
        <w:ind w:hanging="0" w:left="567"/>
        <w:rPr>
          <w:rFonts w:ascii="Times New Roman" w:hAnsi="Times New Roman"/>
          <w:color w:val="000000"/>
        </w:rPr>
      </w:pPr>
      <w:r>
        <w:rPr>
          <w:rFonts w:ascii="Times New Roman" w:hAnsi="Times New Roman"/>
          <w:color w:val="000000"/>
        </w:rPr>
        <w:t>Habilitação fiscal, social e trabalhista</w:t>
      </w:r>
    </w:p>
    <w:p>
      <w:pPr>
        <w:pStyle w:val="Normal"/>
        <w:numPr>
          <w:ilvl w:val="1"/>
          <w:numId w:val="1"/>
        </w:numPr>
        <w:ind w:hanging="0" w:left="567"/>
        <w:rPr>
          <w:rFonts w:ascii="Times New Roman" w:hAnsi="Times New Roman"/>
          <w:color w:val="000000"/>
        </w:rPr>
      </w:pPr>
      <w:r>
        <w:rPr>
          <w:rFonts w:ascii="Times New Roman" w:hAnsi="Times New Roman"/>
          <w:color w:val="000000"/>
        </w:rPr>
        <w:t>Prova de inscrição no Cadastro Nacional de Pessoas Jurídicas ou no Cadastro de Pessoas Físicas, conforme o caso;</w:t>
      </w:r>
    </w:p>
    <w:p>
      <w:pPr>
        <w:pStyle w:val="Normal"/>
        <w:numPr>
          <w:ilvl w:val="1"/>
          <w:numId w:val="1"/>
        </w:numPr>
        <w:ind w:hanging="0" w:left="567"/>
        <w:rPr>
          <w:rFonts w:ascii="Times New Roman" w:hAnsi="Times New Roman"/>
          <w:color w:val="000000"/>
        </w:rPr>
      </w:pPr>
      <w:r>
        <w:rPr>
          <w:rFonts w:ascii="Times New Roman" w:hAnsi="Times New Roman"/>
          <w:color w:val="00000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pPr>
        <w:pStyle w:val="Normal"/>
        <w:numPr>
          <w:ilvl w:val="1"/>
          <w:numId w:val="1"/>
        </w:numPr>
        <w:ind w:hanging="0" w:left="567"/>
        <w:rPr>
          <w:rFonts w:ascii="Times New Roman" w:hAnsi="Times New Roman"/>
          <w:color w:val="000000"/>
        </w:rPr>
      </w:pPr>
      <w:r>
        <w:rPr>
          <w:rFonts w:ascii="Times New Roman" w:hAnsi="Times New Roman"/>
          <w:color w:val="000000"/>
        </w:rPr>
        <w:t>Prova de regularidade com o Fundo de Garantia do Tempo de Serviço (FGTS);</w:t>
      </w:r>
    </w:p>
    <w:p>
      <w:pPr>
        <w:pStyle w:val="Normal"/>
        <w:numPr>
          <w:ilvl w:val="1"/>
          <w:numId w:val="1"/>
        </w:numPr>
        <w:ind w:hanging="0" w:left="567"/>
        <w:rPr>
          <w:rFonts w:ascii="Times New Roman" w:hAnsi="Times New Roman"/>
          <w:color w:val="000000"/>
        </w:rPr>
      </w:pPr>
      <w:r>
        <w:rPr>
          <w:rFonts w:ascii="Times New Roman" w:hAnsi="Times New Roman"/>
          <w:color w:val="00000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numPr>
          <w:ilvl w:val="1"/>
          <w:numId w:val="1"/>
        </w:numPr>
        <w:ind w:hanging="0" w:left="567"/>
        <w:rPr>
          <w:rFonts w:ascii="Times New Roman" w:hAnsi="Times New Roman"/>
          <w:color w:val="000000"/>
        </w:rPr>
      </w:pPr>
      <w:r>
        <w:rPr>
          <w:rFonts w:ascii="Times New Roman" w:hAnsi="Times New Roman"/>
          <w:color w:val="000000"/>
        </w:rPr>
        <w:t>Prova de inscrição no cadastro de contribuintes Distrital ou Municipal relativo ao domicílio ou sede do fornecedor, pertinente ao seu ramo de atividade e compatível com o objeto contratual;</w:t>
      </w:r>
    </w:p>
    <w:p>
      <w:pPr>
        <w:pStyle w:val="Normal"/>
        <w:numPr>
          <w:ilvl w:val="1"/>
          <w:numId w:val="1"/>
        </w:numPr>
        <w:ind w:hanging="0" w:left="567"/>
        <w:rPr>
          <w:rFonts w:ascii="Times New Roman" w:hAnsi="Times New Roman"/>
          <w:color w:val="000000"/>
        </w:rPr>
      </w:pPr>
      <w:r>
        <w:rPr>
          <w:rFonts w:ascii="Times New Roman" w:hAnsi="Times New Roman"/>
          <w:color w:val="000000"/>
        </w:rPr>
        <w:t>Prova de regularidade com a Fazenda Distrital ou Municipal do domicílio ou sede do fornecedor, relativa à atividade em cujo exercício contrata ou concorre;</w:t>
      </w:r>
    </w:p>
    <w:p>
      <w:pPr>
        <w:pStyle w:val="Normal"/>
        <w:numPr>
          <w:ilvl w:val="1"/>
          <w:numId w:val="1"/>
        </w:numPr>
        <w:ind w:hanging="0" w:left="567"/>
        <w:rPr>
          <w:rFonts w:ascii="Times New Roman" w:hAnsi="Times New Roman"/>
          <w:color w:val="000000"/>
        </w:rPr>
      </w:pPr>
      <w:r>
        <w:rPr>
          <w:rFonts w:ascii="Times New Roman" w:hAnsi="Times New Roman"/>
          <w:color w:val="000000"/>
        </w:rPr>
        <w:t>Caso o fornecedor seja considerado isento dos tributos relacionados ao objeto contratual, deverá comprovar tal condição mediante a apresentação de declaração da Fazenda respectiva do seu domicílio ou sede, ou outra equivalente, na forma da lei.</w:t>
      </w:r>
    </w:p>
    <w:p>
      <w:pPr>
        <w:pStyle w:val="Normal"/>
        <w:numPr>
          <w:ilvl w:val="1"/>
          <w:numId w:val="1"/>
        </w:numPr>
        <w:ind w:hanging="0" w:left="567"/>
        <w:rPr>
          <w:rFonts w:ascii="Times New Roman" w:hAnsi="Times New Roman"/>
          <w:color w:val="000000"/>
        </w:rPr>
      </w:pPr>
      <w:bookmarkStart w:id="13" w:name="_Hlk121934117"/>
      <w:r>
        <w:rPr>
          <w:rFonts w:ascii="Times New Roman" w:hAnsi="Times New Roman"/>
          <w:color w:val="000000"/>
        </w:rPr>
        <w:t>O fornecedor enquadrado como microempreendedor individual que pretenda auferir os benefícios do tratamento diferenciado previstos na Lei Complementar n. 123, de 2006, estará dispensado da prova de inscrição nos cadastros de contribuintes estadual e municipal.</w:t>
      </w:r>
      <w:bookmarkEnd w:id="13"/>
    </w:p>
    <w:p>
      <w:pPr>
        <w:pStyle w:val="Normal"/>
        <w:ind w:hanging="0" w:left="567"/>
        <w:rPr>
          <w:rFonts w:ascii="Times New Roman" w:hAnsi="Times New Roman"/>
          <w:color w:val="000000"/>
        </w:rPr>
      </w:pPr>
      <w:r>
        <w:rPr>
          <w:rFonts w:ascii="Times New Roman" w:hAnsi="Times New Roman"/>
          <w:color w:val="000000"/>
        </w:rPr>
        <w:t>Qualificação Econômico-Financeira</w:t>
      </w:r>
    </w:p>
    <w:p>
      <w:pPr>
        <w:pStyle w:val="Normal"/>
        <w:numPr>
          <w:ilvl w:val="1"/>
          <w:numId w:val="1"/>
        </w:numPr>
        <w:ind w:hanging="0" w:left="567"/>
        <w:rPr>
          <w:rFonts w:ascii="Times New Roman" w:hAnsi="Times New Roman"/>
          <w:color w:val="000000"/>
        </w:rPr>
      </w:pPr>
      <w:r>
        <w:rPr>
          <w:rFonts w:ascii="Times New Roman" w:hAnsi="Times New Roman"/>
          <w:color w:val="000000"/>
        </w:rPr>
        <w:t>certidão negativa de insolvência civil expedida pelo distribuidor do domicílio ou sede do interessado, caso se trate de pessoa física, desde que admitida a sua participação na licitação/contratação, ou de sociedade simples;</w:t>
      </w:r>
    </w:p>
    <w:p>
      <w:pPr>
        <w:pStyle w:val="Normal"/>
        <w:numPr>
          <w:ilvl w:val="1"/>
          <w:numId w:val="1"/>
        </w:numPr>
        <w:ind w:hanging="0" w:left="567"/>
        <w:rPr>
          <w:rFonts w:ascii="Times New Roman" w:hAnsi="Times New Roman"/>
          <w:color w:val="000000"/>
        </w:rPr>
      </w:pPr>
      <w:r>
        <w:rPr>
          <w:rFonts w:ascii="Times New Roman" w:hAnsi="Times New Roman"/>
          <w:color w:val="000000"/>
        </w:rPr>
        <w:t>certidão negativa de falência expedida pelo distribuidor da sede do fornecedor;</w:t>
      </w:r>
    </w:p>
    <w:p>
      <w:pPr>
        <w:pStyle w:val="Normal"/>
        <w:numPr>
          <w:ilvl w:val="1"/>
          <w:numId w:val="1"/>
        </w:numPr>
        <w:ind w:hanging="0" w:left="567"/>
        <w:rPr>
          <w:rFonts w:ascii="Times New Roman" w:hAnsi="Times New Roman" w:eastAsia="" w:eastAsiaTheme="minorEastAsia"/>
          <w:color w:val="000000"/>
          <w:highlight w:val="none"/>
          <w:shd w:fill="auto" w:val="clear"/>
        </w:rPr>
      </w:pPr>
      <w:bookmarkStart w:id="14" w:name="_Hlk170895502"/>
      <w:bookmarkEnd w:id="14"/>
      <w:r>
        <w:rPr>
          <w:rFonts w:eastAsia="" w:ascii="Times New Roman" w:hAnsi="Times New Roman" w:eastAsiaTheme="minorEastAsia"/>
          <w:color w:val="000000"/>
          <w:shd w:fill="auto" w:val="clear"/>
        </w:rPr>
        <w:t>balanço patrimonial, demonstração de resultado de exercício e demais demonstrações contábeis dos 2 (dois) últimos exercícios sociais, comprovando, para cada exercício, índices de Liquidez Geral (LG), Liquidez Corrente (LC), e Solvência Geral (SG) superiores a 1 (um).</w:t>
      </w:r>
    </w:p>
    <w:p>
      <w:pPr>
        <w:pStyle w:val="Normal"/>
        <w:numPr>
          <w:ilvl w:val="2"/>
          <w:numId w:val="205"/>
        </w:numPr>
        <w:ind w:hanging="0" w:left="567"/>
        <w:rPr>
          <w:rFonts w:ascii="Times New Roman" w:hAnsi="Times New Roman" w:eastAsia="" w:eastAsiaTheme="minorEastAsia"/>
          <w:color w:val="000000"/>
          <w:highlight w:val="none"/>
          <w:shd w:fill="auto" w:val="clear"/>
        </w:rPr>
      </w:pPr>
      <w:r>
        <w:rPr>
          <w:rFonts w:eastAsia="" w:ascii="Times New Roman" w:hAnsi="Times New Roman" w:eastAsiaTheme="minorEastAsia"/>
          <w:color w:val="000000"/>
          <w:shd w:fill="auto" w:val="clear"/>
        </w:rPr>
        <w:t>Capital Circulante Líquido ou Capital de Giro (Ativo Circulante - Passivo Circulante) de, no mínimo, 16,66% (dezesseis inteiros e sessenta e seis centésimos por cento) do valor estimado da contratação; e</w:t>
      </w:r>
    </w:p>
    <w:p>
      <w:pPr>
        <w:pStyle w:val="Normal"/>
        <w:numPr>
          <w:ilvl w:val="2"/>
          <w:numId w:val="206"/>
        </w:numPr>
        <w:ind w:hanging="0" w:left="567"/>
        <w:rPr>
          <w:rFonts w:ascii="Times New Roman" w:hAnsi="Times New Roman" w:eastAsia="" w:eastAsiaTheme="minorEastAsia"/>
          <w:color w:val="000000"/>
          <w:highlight w:val="none"/>
          <w:shd w:fill="auto" w:val="clear"/>
        </w:rPr>
      </w:pPr>
      <w:r>
        <w:rPr>
          <w:rFonts w:eastAsia="" w:ascii="Times New Roman" w:hAnsi="Times New Roman" w:eastAsiaTheme="minorEastAsia"/>
          <w:color w:val="000000"/>
          <w:shd w:fill="auto" w:val="clear"/>
        </w:rPr>
        <w:t>Patrimônio líquido de 10% (dez por cento) do valor estimado da contratação;</w:t>
      </w:r>
    </w:p>
    <w:p>
      <w:pPr>
        <w:pStyle w:val="Normal"/>
        <w:numPr>
          <w:ilvl w:val="1"/>
          <w:numId w:val="1"/>
        </w:numPr>
        <w:ind w:hanging="0" w:left="567"/>
        <w:rPr>
          <w:rFonts w:ascii="Times New Roman" w:hAnsi="Times New Roman" w:eastAsia="" w:eastAsiaTheme="minorEastAsia"/>
          <w:color w:val="000000"/>
          <w:highlight w:val="none"/>
          <w:shd w:fill="auto" w:val="clear"/>
        </w:rPr>
      </w:pPr>
      <w:r>
        <w:rPr>
          <w:rFonts w:eastAsia="" w:ascii="Times New Roman" w:hAnsi="Times New Roman" w:eastAsiaTheme="minorEastAsia"/>
          <w:color w:val="000000"/>
          <w:shd w:fill="auto" w:val="clear"/>
        </w:rPr>
        <w:t>Os documentos referidos acima limitar-se-ão ao último exercício no caso de a pessoa jurídica ter sido constituída há menos de 2 (dois) anos;</w:t>
      </w:r>
    </w:p>
    <w:p>
      <w:pPr>
        <w:pStyle w:val="Normal"/>
        <w:numPr>
          <w:ilvl w:val="1"/>
          <w:numId w:val="1"/>
        </w:numPr>
        <w:ind w:hanging="0" w:left="567"/>
        <w:rPr>
          <w:rFonts w:ascii="Times New Roman" w:hAnsi="Times New Roman" w:eastAsia="" w:eastAsiaTheme="minorEastAsia"/>
          <w:color w:val="000000"/>
          <w:highlight w:val="none"/>
          <w:shd w:fill="auto" w:val="clear"/>
        </w:rPr>
      </w:pPr>
      <w:r>
        <w:rPr>
          <w:rFonts w:eastAsia="" w:ascii="Times New Roman" w:hAnsi="Times New Roman" w:eastAsiaTheme="minorEastAsia"/>
          <w:color w:val="000000"/>
          <w:shd w:fill="auto" w:val="clear"/>
        </w:rPr>
        <w:t xml:space="preserve">Os documentos referidos acima deverão ser exigidos com base no limite definido pela Receita Federal do Brasil para transmissão da Escrituração Contábil Digital - ECD ao Sped. </w:t>
      </w:r>
    </w:p>
    <w:p>
      <w:pPr>
        <w:pStyle w:val="Normal"/>
        <w:numPr>
          <w:ilvl w:val="1"/>
          <w:numId w:val="1"/>
        </w:numPr>
        <w:ind w:hanging="432" w:left="567"/>
        <w:rPr>
          <w:rFonts w:ascii="Times New Roman" w:hAnsi="Times New Roman" w:eastAsia="" w:eastAsiaTheme="minorEastAsia"/>
          <w:color w:val="000000"/>
          <w:highlight w:val="none"/>
          <w:shd w:fill="auto" w:val="clear"/>
        </w:rPr>
      </w:pPr>
      <w:r>
        <w:rPr>
          <w:rFonts w:eastAsia="" w:ascii="Times New Roman" w:hAnsi="Times New Roman" w:eastAsiaTheme="minorEastAsia"/>
          <w:color w:val="000000"/>
          <w:shd w:fill="auto" w:val="clear"/>
        </w:rPr>
        <w:t>O atendimento dos índices econômicos previstos neste termo de referência deverá ser atestado mediante declaração assinada por profissional habilitado da área contábil, apresentada pelo fornecedor.</w:t>
      </w:r>
    </w:p>
    <w:p>
      <w:pPr>
        <w:pStyle w:val="Normal"/>
        <w:numPr>
          <w:ilvl w:val="1"/>
          <w:numId w:val="1"/>
        </w:numPr>
        <w:ind w:hanging="432" w:left="567"/>
        <w:rPr>
          <w:rFonts w:ascii="Times New Roman" w:hAnsi="Times New Roman" w:eastAsia="" w:eastAsiaTheme="minorEastAsia"/>
          <w:color w:val="000000"/>
          <w:highlight w:val="none"/>
          <w:shd w:fill="auto" w:val="clear"/>
        </w:rPr>
      </w:pPr>
      <w:bookmarkStart w:id="15" w:name="_Hlk170896691"/>
      <w:bookmarkStart w:id="16" w:name="_Hlk170895502_Copia_1"/>
      <w:bookmarkEnd w:id="16"/>
      <w:r>
        <w:rPr>
          <w:rFonts w:eastAsia="" w:ascii="Times New Roman" w:hAnsi="Times New Roman" w:eastAsiaTheme="minorEastAsia"/>
          <w:color w:val="000000"/>
          <w:shd w:fill="auto" w:val="clear"/>
        </w:rPr>
        <w:t xml:space="preserve">Declaração do fornecedor, acompanhada da relação de compromissos assumidos, conforme modelo constante do Anexo </w:t>
      </w:r>
      <w:r>
        <w:rPr>
          <w:rFonts w:eastAsia="" w:ascii="Times New Roman" w:hAnsi="Times New Roman" w:eastAsiaTheme="minorEastAsia"/>
          <w:b w:val="false"/>
          <w:bCs w:val="false"/>
          <w:color w:val="000000"/>
          <w:shd w:fill="auto" w:val="clear"/>
        </w:rPr>
        <w:t>V</w:t>
      </w:r>
      <w:r>
        <w:rPr>
          <w:rFonts w:eastAsia="" w:ascii="Times New Roman" w:hAnsi="Times New Roman" w:eastAsiaTheme="minorEastAsia"/>
          <w:color w:val="000000"/>
          <w:shd w:fill="auto" w:val="clear"/>
        </w:rPr>
        <w:t xml:space="preserve"> deste Termo de Referência, de que um doze avos dos contratos firmados com a Administração Pública e/ou com a iniciativa privada vigentes na data apresentação da proposta não é superior ao patrimônio líquido do interessado, observados os seguintes requisitos:</w:t>
      </w:r>
      <w:bookmarkEnd w:id="15"/>
    </w:p>
    <w:p>
      <w:pPr>
        <w:pStyle w:val="Normal"/>
        <w:numPr>
          <w:ilvl w:val="2"/>
          <w:numId w:val="207"/>
        </w:numPr>
        <w:ind w:hanging="0" w:left="567"/>
        <w:rPr>
          <w:rFonts w:ascii="Times New Roman" w:hAnsi="Times New Roman" w:eastAsia="" w:eastAsiaTheme="minorEastAsia"/>
          <w:color w:val="000000"/>
          <w:highlight w:val="none"/>
          <w:shd w:fill="auto" w:val="clear"/>
        </w:rPr>
      </w:pPr>
      <w:r>
        <w:rPr>
          <w:rFonts w:eastAsia="" w:ascii="Times New Roman" w:hAnsi="Times New Roman" w:eastAsiaTheme="minorEastAsia"/>
          <w:color w:val="000000"/>
          <w:shd w:fill="auto" w:val="clear"/>
        </w:rPr>
        <w:t>a declaração deve ser acompanhada da Demonstração do Resultado do Exercício (DRE), relativa ao último exercício social; e</w:t>
      </w:r>
    </w:p>
    <w:p>
      <w:pPr>
        <w:pStyle w:val="Normal"/>
        <w:numPr>
          <w:ilvl w:val="2"/>
          <w:numId w:val="208"/>
        </w:numPr>
        <w:ind w:hanging="0" w:left="567"/>
        <w:rPr>
          <w:rFonts w:ascii="Times New Roman" w:hAnsi="Times New Roman" w:eastAsia="" w:eastAsiaTheme="minorEastAsia"/>
          <w:color w:val="000000"/>
          <w:highlight w:val="none"/>
          <w:shd w:fill="auto" w:val="clear"/>
        </w:rPr>
      </w:pPr>
      <w:r>
        <w:rPr>
          <w:rFonts w:eastAsia="" w:ascii="Times New Roman" w:hAnsi="Times New Roman" w:eastAsiaTheme="minorEastAsia"/>
          <w:color w:val="000000"/>
          <w:shd w:fill="auto" w:val="clear"/>
        </w:rPr>
        <w:t>caso a diferença entre a declaração e a receita bruta discriminada na Demonstração do Resultado do Exercício (DRE) apresentada seja superior a 10% (dez por cento), para mais ou para menos, o fornecedor deverá apresentar justificativas.</w:t>
      </w:r>
    </w:p>
    <w:p>
      <w:pPr>
        <w:pStyle w:val="Normal"/>
        <w:numPr>
          <w:ilvl w:val="1"/>
          <w:numId w:val="1"/>
        </w:numPr>
        <w:ind w:hanging="0" w:left="567"/>
        <w:rPr>
          <w:rFonts w:ascii="Times New Roman" w:hAnsi="Times New Roman" w:eastAsia="" w:eastAsiaTheme="minorEastAsia"/>
          <w:color w:val="000000"/>
          <w:highlight w:val="none"/>
          <w:shd w:fill="auto" w:val="clear"/>
        </w:rPr>
      </w:pPr>
      <w:r>
        <w:rPr>
          <w:rFonts w:eastAsia="" w:ascii="Times New Roman" w:hAnsi="Times New Roman" w:eastAsiaTheme="minorEastAsia"/>
          <w:color w:val="000000"/>
          <w:shd w:fill="auto" w:val="clear"/>
        </w:rPr>
        <w:t>As empresas criadas no exercício financeiro da licitação/contratação deverão atender a todas as exigências da habilitação e poderão substituir os demonstrativos contábeis pelo balanço de abertura.</w:t>
      </w:r>
    </w:p>
    <w:p>
      <w:pPr>
        <w:pStyle w:val="Normal"/>
        <w:ind w:hanging="0" w:left="567"/>
        <w:rPr>
          <w:rFonts w:ascii="Times New Roman" w:hAnsi="Times New Roman" w:eastAsia="" w:eastAsiaTheme="minorEastAsia"/>
          <w:color w:val="000000"/>
          <w:highlight w:val="none"/>
          <w:shd w:fill="auto" w:val="clear"/>
        </w:rPr>
      </w:pPr>
      <w:r>
        <w:rPr>
          <w:rFonts w:eastAsia="" w:ascii="Times New Roman" w:hAnsi="Times New Roman" w:eastAsiaTheme="minorEastAsia"/>
          <w:color w:val="000000"/>
          <w:shd w:fill="auto" w:val="clear"/>
        </w:rPr>
        <w:t>Qualificação Técnica</w:t>
      </w:r>
    </w:p>
    <w:p>
      <w:pPr>
        <w:pStyle w:val="Normal"/>
        <w:numPr>
          <w:ilvl w:val="1"/>
          <w:numId w:val="1"/>
        </w:numPr>
        <w:ind w:hanging="432" w:left="567"/>
        <w:rPr>
          <w:rFonts w:ascii="Times New Roman" w:hAnsi="Times New Roman" w:eastAsia="" w:eastAsiaTheme="minorEastAsia"/>
          <w:color w:val="000000"/>
          <w:highlight w:val="none"/>
          <w:shd w:fill="auto" w:val="clear"/>
        </w:rPr>
      </w:pPr>
      <w:bookmarkStart w:id="17" w:name="_Ref123202723"/>
      <w:r>
        <w:rPr>
          <w:rFonts w:eastAsia="" w:ascii="Times New Roman" w:hAnsi="Times New Roman" w:eastAsiaTheme="minorEastAsia"/>
          <w:color w:val="000000"/>
          <w:shd w:fill="auto" w:val="clear"/>
        </w:rPr>
        <w:t xml:space="preserve">Declaração de que o fornecedor tomou conhecimento de todas as informações e das condições locais para o cumprimento das obrigações objeto da </w:t>
      </w:r>
      <w:bookmarkEnd w:id="17"/>
      <w:r>
        <w:rPr>
          <w:rFonts w:eastAsia="" w:ascii="Times New Roman" w:hAnsi="Times New Roman" w:eastAsiaTheme="minorEastAsia"/>
          <w:color w:val="000000"/>
          <w:shd w:fill="auto" w:val="clear"/>
        </w:rPr>
        <w:t xml:space="preserve">contratação. </w:t>
      </w:r>
    </w:p>
    <w:p>
      <w:pPr>
        <w:pStyle w:val="Normal"/>
        <w:numPr>
          <w:ilvl w:val="1"/>
          <w:numId w:val="1"/>
        </w:numPr>
        <w:ind w:hanging="0" w:left="567"/>
        <w:rPr>
          <w:rFonts w:ascii="Times New Roman" w:hAnsi="Times New Roman" w:eastAsia="" w:eastAsiaTheme="minorEastAsia"/>
          <w:color w:val="000000"/>
          <w:highlight w:val="none"/>
          <w:shd w:fill="auto" w:val="clear"/>
        </w:rPr>
      </w:pPr>
      <w:r>
        <w:rPr>
          <w:rFonts w:eastAsia="" w:ascii="Times New Roman" w:hAnsi="Times New Roman" w:eastAsiaTheme="minorEastAsia"/>
          <w:color w:val="000000"/>
          <w:shd w:fill="auto" w:val="clear"/>
        </w:rPr>
        <w:t xml:space="preserve"> </w:t>
      </w:r>
      <w:r>
        <w:rPr>
          <w:rFonts w:eastAsia="" w:ascii="Times New Roman" w:hAnsi="Times New Roman" w:eastAsiaTheme="minorEastAsia"/>
          <w:b w:val="false"/>
          <w:i w:val="false"/>
          <w:color w:val="000000"/>
          <w:sz w:val="24"/>
          <w:shd w:fill="auto" w:val="clear"/>
        </w:rPr>
        <w:t>O responsável pelo RCA/PCA deverá  estar em situação regular no Cadastro Técnico Federal (CTF) do IBAMA.</w:t>
      </w:r>
    </w:p>
    <w:p>
      <w:pPr>
        <w:pStyle w:val="Normal"/>
        <w:numPr>
          <w:ilvl w:val="2"/>
          <w:numId w:val="209"/>
        </w:numPr>
        <w:ind w:hanging="0" w:left="567"/>
        <w:rPr>
          <w:rFonts w:ascii="Times New Roman" w:hAnsi="Times New Roman" w:eastAsia="" w:eastAsiaTheme="minorEastAsia"/>
          <w:color w:val="000000"/>
          <w:highlight w:val="none"/>
          <w:shd w:fill="auto" w:val="clear"/>
        </w:rPr>
      </w:pPr>
      <w:r>
        <w:rPr>
          <w:rFonts w:eastAsia="" w:ascii="Times New Roman" w:hAnsi="Times New Roman" w:eastAsiaTheme="minorEastAsia"/>
          <w:color w:val="000000"/>
          <w:shd w:fill="auto" w:val="clear"/>
        </w:rPr>
        <w:t>Essa declaração poderá ser substituída por declaração formal assinada pelo responsável técnico do interessado acerca do conhecimento pleno das condições e peculiaridades da contratação.</w:t>
      </w:r>
    </w:p>
    <w:p>
      <w:pPr>
        <w:pStyle w:val="Normal"/>
        <w:numPr>
          <w:ilvl w:val="1"/>
          <w:numId w:val="1"/>
        </w:numPr>
        <w:ind w:hanging="432" w:left="567"/>
        <w:rPr>
          <w:rFonts w:ascii="Times New Roman" w:hAnsi="Times New Roman" w:eastAsia="" w:eastAsiaTheme="minorEastAsia"/>
          <w:color w:val="000000"/>
          <w:highlight w:val="none"/>
          <w:shd w:fill="auto" w:val="clear"/>
        </w:rPr>
      </w:pPr>
      <w:r>
        <w:rPr>
          <w:rFonts w:eastAsia="" w:ascii="Times New Roman" w:hAnsi="Times New Roman" w:eastAsiaTheme="minorEastAsia"/>
          <w:color w:val="000000"/>
          <w:shd w:fill="auto" w:val="clear"/>
        </w:rPr>
        <w:t>Registro ou inscrição da empresa na entidade profissional competente, em plena validade;</w:t>
      </w:r>
    </w:p>
    <w:p>
      <w:pPr>
        <w:pStyle w:val="Normal"/>
        <w:numPr>
          <w:ilvl w:val="2"/>
          <w:numId w:val="210"/>
        </w:numPr>
        <w:ind w:hanging="0" w:left="567"/>
        <w:rPr>
          <w:rFonts w:ascii="Times New Roman" w:hAnsi="Times New Roman" w:eastAsia="" w:eastAsiaTheme="minorEastAsia"/>
          <w:color w:val="000000"/>
          <w:highlight w:val="none"/>
          <w:shd w:fill="auto" w:val="clear"/>
        </w:rPr>
      </w:pPr>
      <w:bookmarkStart w:id="18" w:name="_Hlk171010459"/>
      <w:r>
        <w:rPr>
          <w:rFonts w:eastAsia="" w:ascii="Times New Roman" w:hAnsi="Times New Roman" w:eastAsiaTheme="minorEastAsia"/>
          <w:color w:val="000000"/>
          <w:shd w:fill="auto" w:val="clear"/>
        </w:rPr>
        <w:t>Sociedades empresárias estrangeiras atenderão à exigência por meio da apresentação, no momento da assinatura do contrato ou do aceite de instrumento equivalente, da solicitação de registro perante a entidade profissional competente no Brasil.</w:t>
      </w:r>
      <w:bookmarkEnd w:id="18"/>
    </w:p>
    <w:p>
      <w:pPr>
        <w:pStyle w:val="Normal"/>
        <w:ind w:hanging="0" w:left="567"/>
        <w:rPr>
          <w:rFonts w:ascii="Times New Roman" w:hAnsi="Times New Roman"/>
          <w:color w:val="000000"/>
        </w:rPr>
      </w:pPr>
      <w:bookmarkStart w:id="19" w:name="_Hlk171013756"/>
      <w:bookmarkEnd w:id="19"/>
      <w:r>
        <w:rPr>
          <w:rFonts w:ascii="Times New Roman" w:hAnsi="Times New Roman"/>
          <w:color w:val="000000"/>
        </w:rPr>
        <w:t>Qualificação Técnico-Operacional</w:t>
      </w:r>
    </w:p>
    <w:p>
      <w:pPr>
        <w:pStyle w:val="Normal"/>
        <w:numPr>
          <w:ilvl w:val="1"/>
          <w:numId w:val="1"/>
        </w:numPr>
        <w:ind w:hanging="0" w:left="567"/>
        <w:rPr>
          <w:rFonts w:ascii="Times New Roman" w:hAnsi="Times New Roman"/>
          <w:color w:val="000000"/>
        </w:rPr>
      </w:pPr>
      <w:r>
        <w:rPr>
          <w:rFonts w:ascii="Times New Roman" w:hAnsi="Times New Roman"/>
          <w:color w:val="000000"/>
        </w:rPr>
        <w:t>Comprovação de aptidão para execução de s</w:t>
      </w:r>
      <w:r>
        <w:rPr>
          <w:rFonts w:eastAsia="" w:ascii="Times New Roman" w:hAnsi="Times New Roman" w:eastAsiaTheme="minorEastAsia"/>
          <w:color w:val="000000"/>
          <w:shd w:fill="auto" w:val="clear"/>
        </w:rPr>
        <w:t>erviço similar, de complexidade tecnológica e operacional equivalente ou superior à do objeto desta contrataç</w:t>
      </w:r>
      <w:r>
        <w:rPr>
          <w:rFonts w:ascii="Times New Roman" w:hAnsi="Times New Roman"/>
          <w:color w:val="000000"/>
        </w:rPr>
        <w:t>ão, ou do item pertinente, por meio da apresentação de certidões ou atestados emitidos por pessoas jurídicas de direito público ou privado, ou pelo conselho profissional competente, quando for o caso.</w:t>
      </w:r>
    </w:p>
    <w:p>
      <w:pPr>
        <w:pStyle w:val="Normal"/>
        <w:numPr>
          <w:ilvl w:val="2"/>
          <w:numId w:val="211"/>
        </w:numPr>
        <w:ind w:hanging="0" w:left="567"/>
        <w:rPr>
          <w:rFonts w:ascii="Times New Roman" w:hAnsi="Times New Roman"/>
          <w:color w:val="000000"/>
        </w:rPr>
      </w:pPr>
      <w:r>
        <w:rPr>
          <w:rFonts w:ascii="Times New Roman" w:hAnsi="Times New Roman"/>
          <w:color w:val="000000"/>
        </w:rPr>
        <w:t>Para fins da comprovação de que trata este subitem, os atestados deverão dizer respeito a contrato(s) executado(s) com as seguintes características mínimas:</w:t>
      </w:r>
    </w:p>
    <w:p>
      <w:pPr>
        <w:pStyle w:val="Normal"/>
        <w:numPr>
          <w:ilvl w:val="3"/>
          <w:numId w:val="212"/>
        </w:numPr>
        <w:ind w:hanging="0" w:left="567"/>
        <w:rPr>
          <w:rFonts w:ascii="Times New Roman" w:hAnsi="Times New Roman"/>
          <w:color w:val="000000"/>
        </w:rPr>
      </w:pPr>
      <w:r>
        <w:rPr>
          <w:rFonts w:ascii="Times New Roman" w:hAnsi="Times New Roman"/>
          <w:color w:val="000000"/>
        </w:rPr>
        <w:t xml:space="preserve"> </w:t>
      </w:r>
      <w:r>
        <w:rPr>
          <w:rFonts w:ascii="Times New Roman" w:hAnsi="Times New Roman"/>
          <w:color w:val="000000"/>
        </w:rPr>
        <w:t>contrato(s) que comprove(m) a experiência mínima de 03 (três) anos do fornecedor na prestação dos serviços, em períodos sucessivos ou não, sendo aceito o somatório de atestados de períodos diferentes;</w:t>
      </w:r>
    </w:p>
    <w:p>
      <w:pPr>
        <w:pStyle w:val="Normal"/>
        <w:numPr>
          <w:ilvl w:val="3"/>
          <w:numId w:val="213"/>
        </w:numPr>
        <w:ind w:hanging="0" w:left="567"/>
        <w:rPr>
          <w:rFonts w:ascii="Times New Roman" w:hAnsi="Times New Roman" w:eastAsia="" w:eastAsiaTheme="minorEastAsia"/>
          <w:color w:val="000000"/>
          <w:highlight w:val="none"/>
          <w:shd w:fill="auto" w:val="clear"/>
        </w:rPr>
      </w:pPr>
      <w:r>
        <w:rPr>
          <w:rFonts w:eastAsia="" w:ascii="Times New Roman" w:hAnsi="Times New Roman" w:eastAsiaTheme="minorEastAsia"/>
          <w:color w:val="000000"/>
          <w:shd w:fill="auto" w:val="clear"/>
        </w:rPr>
        <w:t xml:space="preserve"> </w:t>
      </w:r>
      <w:r>
        <w:rPr>
          <w:rFonts w:eastAsia="" w:ascii="Times New Roman" w:hAnsi="Times New Roman" w:eastAsiaTheme="minorEastAsia"/>
          <w:color w:val="000000"/>
          <w:shd w:fill="auto" w:val="clear"/>
        </w:rPr>
        <w:t>contrato(s) que comprove(m) a execução, pelo fornecedor, de serviços envolvendo, no mínimo, número de postos de trabalho equivalente ao da contratação</w:t>
      </w:r>
      <w:r>
        <w:rPr>
          <w:rFonts w:eastAsia="" w:ascii="Times New Roman" w:hAnsi="Times New Roman" w:eastAsiaTheme="minorEastAsia"/>
          <w:b/>
          <w:color w:val="000000"/>
          <w:shd w:fill="auto" w:val="clear"/>
        </w:rPr>
        <w:t>;</w:t>
      </w:r>
    </w:p>
    <w:p>
      <w:pPr>
        <w:pStyle w:val="Normal"/>
        <w:numPr>
          <w:ilvl w:val="2"/>
          <w:numId w:val="214"/>
        </w:numPr>
        <w:ind w:hanging="0" w:left="567"/>
        <w:rPr>
          <w:rFonts w:ascii="Times New Roman" w:hAnsi="Times New Roman"/>
          <w:color w:val="000000"/>
        </w:rPr>
      </w:pPr>
      <w:r>
        <w:rPr>
          <w:rFonts w:ascii="Times New Roman" w:hAnsi="Times New Roman"/>
          <w:color w:val="000000"/>
        </w:rPr>
        <w:t>Serão admitidos, para fins de comprovação de quantitativo mínimo de serviço, a apresentação e o somatório de diferentes atestados de serviços executados de forma concomitante, pois essa situação equivale, para fins de comprovação de capacidade técnico-operacional, a uma única contratação.</w:t>
      </w:r>
    </w:p>
    <w:p>
      <w:pPr>
        <w:pStyle w:val="Normal"/>
        <w:numPr>
          <w:ilvl w:val="2"/>
          <w:numId w:val="215"/>
        </w:numPr>
        <w:ind w:hanging="0" w:left="567"/>
        <w:rPr>
          <w:rFonts w:ascii="Times New Roman" w:hAnsi="Times New Roman"/>
          <w:color w:val="000000"/>
        </w:rPr>
      </w:pPr>
      <w:r>
        <w:rPr>
          <w:rFonts w:ascii="Times New Roman" w:hAnsi="Times New Roman"/>
          <w:color w:val="000000"/>
        </w:rPr>
        <w:t>Os atestados de capacidade técnica poderão ser apresentados em nome da matriz ou da filial do fornecedor.</w:t>
      </w:r>
    </w:p>
    <w:p>
      <w:pPr>
        <w:pStyle w:val="Normal"/>
        <w:numPr>
          <w:ilvl w:val="2"/>
          <w:numId w:val="216"/>
        </w:numPr>
        <w:ind w:hanging="0" w:left="567"/>
        <w:rPr>
          <w:rFonts w:ascii="Times New Roman" w:hAnsi="Times New Roman"/>
          <w:color w:val="000000"/>
        </w:rPr>
      </w:pPr>
      <w:r>
        <w:rPr>
          <w:rFonts w:ascii="Times New Roman" w:hAnsi="Times New Roman"/>
          <w:color w:val="000000"/>
        </w:rPr>
        <w:t>O fornecedor disponibilizará todas as informações necessárias à comprovação da legitimidade dos atestados, apresentando, quando solicitado pela Administração, cópia do contrato que deu suporte à contratação, endereço atual do Contratante e local em que foram prestados os serviços, entre outros documentos.</w:t>
      </w:r>
    </w:p>
    <w:p>
      <w:pPr>
        <w:pStyle w:val="Normal"/>
        <w:numPr>
          <w:ilvl w:val="2"/>
          <w:numId w:val="217"/>
        </w:numPr>
        <w:ind w:hanging="0" w:left="567"/>
        <w:rPr>
          <w:rFonts w:ascii="Times New Roman" w:hAnsi="Times New Roman"/>
          <w:color w:val="000000"/>
        </w:rPr>
      </w:pPr>
      <w:r>
        <w:rPr>
          <w:rFonts w:ascii="Times New Roman" w:hAnsi="Times New Roman"/>
          <w:color w:val="000000"/>
        </w:rPr>
        <w:t>Os atestados deverão referir-se a serviços prestados no âmbito de sua atividade econômica principal ou secundária especificadas no contrato social vigente.</w:t>
      </w:r>
    </w:p>
    <w:p>
      <w:pPr>
        <w:pStyle w:val="Normal"/>
        <w:numPr>
          <w:ilvl w:val="1"/>
          <w:numId w:val="1"/>
        </w:numPr>
        <w:ind w:hanging="432" w:left="567"/>
        <w:rPr>
          <w:rFonts w:ascii="Times New Roman" w:hAnsi="Times New Roman"/>
          <w:color w:val="000000"/>
        </w:rPr>
      </w:pPr>
      <w:bookmarkStart w:id="20" w:name="_Hlk171011519"/>
      <w:bookmarkStart w:id="21" w:name="_Hlk171013756_Copia_1"/>
      <w:bookmarkEnd w:id="21"/>
      <w:r>
        <w:rPr>
          <w:rFonts w:ascii="Times New Roman" w:hAnsi="Times New Roman"/>
          <w:color w:val="000000"/>
        </w:rPr>
        <w:t>Declaração de que o fornecedor possui ou instalará escritório no município de ..................., o que deverá ser comprovado no prazo máximo de 60 (sessenta) dias, contado a partir da vigência do contrato.</w:t>
      </w:r>
      <w:bookmarkEnd w:id="20"/>
    </w:p>
    <w:p>
      <w:pPr>
        <w:pStyle w:val="Normal"/>
        <w:numPr>
          <w:ilvl w:val="1"/>
          <w:numId w:val="1"/>
        </w:numPr>
        <w:ind w:hanging="0" w:left="567"/>
        <w:rPr>
          <w:rFonts w:ascii="Times New Roman" w:hAnsi="Times New Roman"/>
          <w:color w:val="000000"/>
        </w:rPr>
      </w:pPr>
      <w:r>
        <w:rPr>
          <w:rFonts w:ascii="Times New Roman" w:hAnsi="Times New Roman"/>
          <w:color w:val="000000"/>
        </w:rPr>
        <w:t>Serão aceitos atestados ou outros documentos hábeis emitidos por entidades estrangeiras quando acompanhados de tradução para o português, salvo se comprovada a inidoneidade da entidade emissora.</w:t>
      </w:r>
    </w:p>
    <w:p>
      <w:pPr>
        <w:pStyle w:val="Normal"/>
        <w:numPr>
          <w:ilvl w:val="1"/>
          <w:numId w:val="1"/>
        </w:numPr>
        <w:ind w:hanging="0" w:left="567"/>
        <w:rPr>
          <w:rFonts w:ascii="Times New Roman" w:hAnsi="Times New Roman"/>
          <w:color w:val="000000"/>
        </w:rPr>
      </w:pPr>
      <w:r>
        <w:rPr>
          <w:rFonts w:ascii="Times New Roman" w:hAnsi="Times New Roman"/>
          <w:color w:val="000000"/>
        </w:rPr>
        <w:t>A apresentação, pelo fornecedor, de certidões ou atestados de desempenho anterior emitido em favor de consórcio do qual tenha feito parte será admitida, desde que atendidos os requisitos do art. 67, §§ 10 e 11, da Lei nº 14.133/2021 e regulamentos sobre o tema.</w:t>
      </w:r>
    </w:p>
    <w:p>
      <w:pPr>
        <w:pStyle w:val="Normal"/>
        <w:ind w:hanging="0" w:left="567"/>
        <w:rPr>
          <w:rFonts w:ascii="Times New Roman" w:hAnsi="Times New Roman"/>
          <w:color w:val="000000"/>
        </w:rPr>
      </w:pPr>
      <w:r>
        <w:rPr>
          <w:rFonts w:ascii="Times New Roman" w:hAnsi="Times New Roman"/>
          <w:color w:val="000000"/>
        </w:rPr>
        <w:t>Qualificação Técnico-Profissional</w:t>
      </w:r>
    </w:p>
    <w:p>
      <w:pPr>
        <w:pStyle w:val="Normal"/>
        <w:numPr>
          <w:ilvl w:val="2"/>
          <w:numId w:val="218"/>
        </w:numPr>
        <w:ind w:hanging="0" w:left="567"/>
        <w:rPr>
          <w:rFonts w:ascii="Times New Roman" w:hAnsi="Times New Roman"/>
          <w:color w:val="000000"/>
        </w:rPr>
      </w:pPr>
      <w:r>
        <w:rPr>
          <w:rFonts w:ascii="Times New Roman" w:hAnsi="Times New Roman"/>
          <w:color w:val="000000"/>
        </w:rPr>
        <w:t>O(s) profissional(is) acima indicado(s) deverá(ão) participar do serviço objeto do contrato, e será admitida a sua substituição por profissionais de experiência equivalente ou superior, desde que aprovada pela Administração (§ 6º do art. 67 da Lei nº 14.133, de 2021)</w:t>
      </w:r>
    </w:p>
    <w:p>
      <w:pPr>
        <w:pStyle w:val="Normal"/>
        <w:numPr>
          <w:ilvl w:val="1"/>
          <w:numId w:val="1"/>
        </w:numPr>
        <w:ind w:hanging="0" w:left="567"/>
        <w:rPr/>
      </w:pPr>
      <w:r>
        <w:rPr>
          <w:rFonts w:ascii="Times New Roman" w:hAnsi="Times New Roman"/>
          <w:color w:val="000000"/>
        </w:rPr>
        <w:t xml:space="preserve">Não serão admitidos atestados de responsabilidade técnica de profissionais que, na forma de regulamento, tenham dado causa à aplicação das sanções previstas nos incisos III e IV do </w:t>
      </w:r>
      <w:r>
        <w:rPr>
          <w:rFonts w:ascii="Times New Roman" w:hAnsi="Times New Roman"/>
          <w:b/>
          <w:bCs/>
          <w:color w:val="000000"/>
        </w:rPr>
        <w:t>caput</w:t>
      </w:r>
      <w:r>
        <w:rPr>
          <w:rFonts w:ascii="Times New Roman" w:hAnsi="Times New Roman"/>
          <w:color w:val="000000"/>
        </w:rPr>
        <w:t xml:space="preserve"> do art. 156 da Lei</w:t>
      </w:r>
      <w:r>
        <w:rPr>
          <w:rStyle w:val="InternetLink"/>
          <w:rFonts w:ascii="Times New Roman" w:hAnsi="Times New Roman"/>
          <w:color w:val="000000"/>
          <w:u w:val="none"/>
        </w:rPr>
        <w:t xml:space="preserve"> n.º 14.133, de 2021</w:t>
      </w:r>
      <w:r>
        <w:rPr>
          <w:rFonts w:ascii="Times New Roman" w:hAnsi="Times New Roman"/>
          <w:color w:val="000000"/>
        </w:rPr>
        <w:t>, em decorrência de orientação proposta, de prescrição técnica ou de qualquer ato profissional de sua responsabilidade.</w:t>
      </w:r>
    </w:p>
    <w:p>
      <w:pPr>
        <w:pStyle w:val="Normal"/>
        <w:numPr>
          <w:ilvl w:val="1"/>
          <w:numId w:val="1"/>
        </w:numPr>
        <w:ind w:hanging="0" w:left="567"/>
        <w:rPr>
          <w:rFonts w:ascii="Times New Roman" w:hAnsi="Times New Roman"/>
          <w:color w:val="000000"/>
        </w:rPr>
      </w:pPr>
      <w:r>
        <w:rPr>
          <w:rFonts w:ascii="Times New Roman" w:hAnsi="Times New Roman"/>
          <w:color w:val="000000"/>
        </w:rPr>
        <w:t>Os atestados de capacidade técnica poderão ser apresentados em nome da matriz ou da filial do fornecedor.</w:t>
      </w:r>
    </w:p>
    <w:p>
      <w:pPr>
        <w:pStyle w:val="Normal"/>
        <w:ind w:hanging="0" w:left="567"/>
        <w:rPr>
          <w:rFonts w:ascii="Times New Roman" w:hAnsi="Times New Roman" w:eastAsia="" w:eastAsiaTheme="minorEastAsia"/>
          <w:color w:val="000000"/>
          <w:highlight w:val="none"/>
          <w:shd w:fill="auto" w:val="clear"/>
        </w:rPr>
      </w:pPr>
      <w:r>
        <w:rPr>
          <w:rFonts w:eastAsia="" w:ascii="Times New Roman" w:hAnsi="Times New Roman" w:eastAsiaTheme="minorEastAsia"/>
          <w:color w:val="000000"/>
          <w:shd w:fill="auto" w:val="clear"/>
        </w:rPr>
        <w:t>Disposições gerais sobre habilitação</w:t>
      </w:r>
    </w:p>
    <w:p>
      <w:pPr>
        <w:pStyle w:val="Normal"/>
        <w:numPr>
          <w:ilvl w:val="1"/>
          <w:numId w:val="1"/>
        </w:numPr>
        <w:ind w:hanging="0" w:left="567"/>
        <w:rPr>
          <w:rFonts w:ascii="Times New Roman" w:hAnsi="Times New Roman" w:eastAsia="" w:eastAsiaTheme="minorEastAsia"/>
          <w:color w:val="000000"/>
          <w:highlight w:val="none"/>
          <w:shd w:fill="auto" w:val="clear"/>
        </w:rPr>
      </w:pPr>
      <w:r>
        <w:rPr>
          <w:rFonts w:eastAsia="" w:ascii="Times New Roman" w:hAnsi="Times New Roman" w:eastAsiaTheme="minorEastAsia"/>
          <w:color w:val="000000"/>
          <w:shd w:fill="auto" w:val="clear"/>
        </w:rPr>
        <w:t>Quando permitida a participação na licitação/contratação de empresas estrangeiras que não funcionem no País, as exigências de habilitação serão atendidas mediante documentos equivalentes, inicialmente apresentados em tradução livre.</w:t>
      </w:r>
    </w:p>
    <w:p>
      <w:pPr>
        <w:pStyle w:val="Normal"/>
        <w:numPr>
          <w:ilvl w:val="1"/>
          <w:numId w:val="1"/>
        </w:numPr>
        <w:ind w:hanging="0" w:left="567"/>
        <w:rPr>
          <w:rFonts w:ascii="Times New Roman" w:hAnsi="Times New Roman" w:eastAsia="" w:eastAsiaTheme="minorEastAsia"/>
          <w:color w:val="000000"/>
          <w:highlight w:val="none"/>
          <w:shd w:fill="auto" w:val="clear"/>
        </w:rPr>
      </w:pPr>
      <w:r>
        <w:rPr>
          <w:rFonts w:eastAsia="" w:ascii="Times New Roman" w:hAnsi="Times New Roman" w:eastAsiaTheme="minorEastAsia"/>
          <w:color w:val="000000"/>
          <w:shd w:fill="auto" w:val="clear"/>
        </w:rP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pPr>
        <w:pStyle w:val="Normal"/>
        <w:numPr>
          <w:ilvl w:val="1"/>
          <w:numId w:val="1"/>
        </w:numPr>
        <w:ind w:hanging="0" w:left="567"/>
        <w:rPr>
          <w:rFonts w:ascii="Times New Roman" w:hAnsi="Times New Roman" w:eastAsia="" w:eastAsiaTheme="minorEastAsia"/>
          <w:color w:val="000000"/>
          <w:highlight w:val="none"/>
          <w:shd w:fill="auto" w:val="clear"/>
        </w:rPr>
      </w:pPr>
      <w:r>
        <w:rPr>
          <w:rFonts w:eastAsia="" w:ascii="Times New Roman" w:hAnsi="Times New Roman" w:eastAsiaTheme="minorEastAsia"/>
          <w:color w:val="000000"/>
          <w:shd w:fill="auto" w:val="clear"/>
        </w:rPr>
        <w:t>Não serão aceitos documentos de habilitação com indicação de CNPJ/CPF diferentes, salvo aqueles legalmente permitidos.</w:t>
      </w:r>
    </w:p>
    <w:p>
      <w:pPr>
        <w:pStyle w:val="Normal"/>
        <w:numPr>
          <w:ilvl w:val="1"/>
          <w:numId w:val="1"/>
        </w:numPr>
        <w:ind w:hanging="0" w:left="567"/>
        <w:rPr>
          <w:rFonts w:ascii="Times New Roman" w:hAnsi="Times New Roman" w:eastAsia="" w:eastAsiaTheme="minorEastAsia"/>
          <w:color w:val="000000"/>
          <w:highlight w:val="none"/>
          <w:shd w:fill="auto" w:val="clear"/>
        </w:rPr>
      </w:pPr>
      <w:r>
        <w:rPr>
          <w:rFonts w:eastAsia="" w:ascii="Times New Roman" w:hAnsi="Times New Roman" w:eastAsiaTheme="minorEastAsia"/>
          <w:color w:val="000000"/>
          <w:shd w:fill="auto" w:val="clear"/>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pPr>
        <w:pStyle w:val="Normal"/>
        <w:numPr>
          <w:ilvl w:val="1"/>
          <w:numId w:val="1"/>
        </w:numPr>
        <w:ind w:hanging="0" w:left="567"/>
        <w:rPr>
          <w:rFonts w:ascii="Times New Roman" w:hAnsi="Times New Roman" w:eastAsia="" w:eastAsiaTheme="minorEastAsia"/>
          <w:color w:val="000000"/>
          <w:highlight w:val="none"/>
          <w:shd w:fill="auto" w:val="clear"/>
        </w:rPr>
      </w:pPr>
      <w:r>
        <w:rPr>
          <w:rFonts w:eastAsia="" w:ascii="Times New Roman" w:hAnsi="Times New Roman" w:eastAsiaTheme="minorEastAsia"/>
          <w:color w:val="000000"/>
          <w:shd w:fill="auto" w:val="clear"/>
        </w:rPr>
        <w:t>Serão aceitos registros de CNPJ de fornecedor matriz e filial com diferenças de números de documentos pertinentes ao CND e ao CRF/FGTS, quando for comprovada a centralização do recolhimento dessas contribuições.</w:t>
      </w:r>
    </w:p>
    <w:p>
      <w:pPr>
        <w:pStyle w:val="Normal"/>
        <w:ind w:hanging="0" w:left="567"/>
        <w:rPr>
          <w:rFonts w:ascii="Times New Roman" w:hAnsi="Times New Roman" w:eastAsia="" w:eastAsiaTheme="minorEastAsia"/>
          <w:color w:val="000000"/>
          <w:highlight w:val="none"/>
          <w:shd w:fill="auto" w:val="clear"/>
        </w:rPr>
      </w:pPr>
      <w:r>
        <w:rPr>
          <w:rFonts w:eastAsia="" w:ascii="Times New Roman" w:hAnsi="Times New Roman" w:eastAsiaTheme="minorEastAsia"/>
          <w:color w:val="000000"/>
          <w:shd w:fill="auto" w:val="clear"/>
        </w:rPr>
        <w:t>Documentação complementar para cooperativas</w:t>
      </w:r>
    </w:p>
    <w:p>
      <w:pPr>
        <w:pStyle w:val="Normal"/>
        <w:numPr>
          <w:ilvl w:val="1"/>
          <w:numId w:val="1"/>
        </w:numPr>
        <w:ind w:hanging="0" w:left="567"/>
        <w:rPr>
          <w:rFonts w:ascii="Times New Roman" w:hAnsi="Times New Roman"/>
          <w:color w:val="000000"/>
        </w:rPr>
      </w:pPr>
      <w:r>
        <w:rPr>
          <w:rFonts w:ascii="Times New Roman" w:hAnsi="Times New Roman"/>
          <w:color w:val="000000"/>
        </w:rPr>
        <w:t>Caso admitida a participação de cooperativas, será exigida a seguinte documentação complementar:</w:t>
      </w:r>
    </w:p>
    <w:p>
      <w:pPr>
        <w:pStyle w:val="Normal"/>
        <w:numPr>
          <w:ilvl w:val="2"/>
          <w:numId w:val="219"/>
        </w:numPr>
        <w:ind w:hanging="0" w:left="567"/>
        <w:rPr>
          <w:rFonts w:ascii="Times New Roman" w:hAnsi="Times New Roman"/>
          <w:color w:val="000000"/>
        </w:rPr>
      </w:pPr>
      <w:r>
        <w:rPr>
          <w:rFonts w:ascii="Times New Roman" w:hAnsi="Times New Roman"/>
          <w:color w:val="000000"/>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pPr>
        <w:pStyle w:val="Normal"/>
        <w:numPr>
          <w:ilvl w:val="2"/>
          <w:numId w:val="220"/>
        </w:numPr>
        <w:ind w:hanging="0" w:left="567"/>
        <w:rPr>
          <w:rFonts w:ascii="Times New Roman" w:hAnsi="Times New Roman"/>
          <w:color w:val="000000"/>
        </w:rPr>
      </w:pPr>
      <w:r>
        <w:rPr>
          <w:rFonts w:ascii="Times New Roman" w:hAnsi="Times New Roman"/>
          <w:color w:val="000000"/>
        </w:rPr>
        <w:t>A declaração de regularidade de situação do contribuinte individual – DRSCI, para cada um dos cooperados indicados;</w:t>
      </w:r>
    </w:p>
    <w:p>
      <w:pPr>
        <w:pStyle w:val="Normal"/>
        <w:numPr>
          <w:ilvl w:val="2"/>
          <w:numId w:val="221"/>
        </w:numPr>
        <w:ind w:hanging="0" w:left="567"/>
        <w:rPr>
          <w:rFonts w:ascii="Times New Roman" w:hAnsi="Times New Roman"/>
          <w:color w:val="000000"/>
        </w:rPr>
      </w:pPr>
      <w:r>
        <w:rPr>
          <w:rFonts w:ascii="Times New Roman" w:hAnsi="Times New Roman"/>
          <w:color w:val="000000"/>
        </w:rPr>
        <w:t xml:space="preserve">A comprovação do capital social proporcional ao número de cooperados necessários à prestação do serviço; </w:t>
      </w:r>
    </w:p>
    <w:p>
      <w:pPr>
        <w:pStyle w:val="Normal"/>
        <w:numPr>
          <w:ilvl w:val="2"/>
          <w:numId w:val="222"/>
        </w:numPr>
        <w:ind w:hanging="0" w:left="567"/>
        <w:rPr>
          <w:rFonts w:ascii="Times New Roman" w:hAnsi="Times New Roman"/>
          <w:color w:val="000000"/>
        </w:rPr>
      </w:pPr>
      <w:r>
        <w:rPr>
          <w:rFonts w:ascii="Times New Roman" w:hAnsi="Times New Roman"/>
          <w:color w:val="000000"/>
        </w:rPr>
        <w:t>O registro previsto na Lei n. 5.764, de 1971, art. 107;</w:t>
      </w:r>
    </w:p>
    <w:p>
      <w:pPr>
        <w:pStyle w:val="Normal"/>
        <w:numPr>
          <w:ilvl w:val="2"/>
          <w:numId w:val="223"/>
        </w:numPr>
        <w:ind w:hanging="0" w:left="567"/>
        <w:rPr>
          <w:rFonts w:ascii="Times New Roman" w:hAnsi="Times New Roman"/>
          <w:color w:val="000000"/>
        </w:rPr>
      </w:pPr>
      <w:r>
        <w:rPr>
          <w:rFonts w:ascii="Times New Roman" w:hAnsi="Times New Roman"/>
          <w:color w:val="000000"/>
        </w:rPr>
        <w:t>A comprovação de integração das respectivas quotas-partes por parte dos cooperados que executarão o contrato;</w:t>
      </w:r>
    </w:p>
    <w:p>
      <w:pPr>
        <w:pStyle w:val="Normal"/>
        <w:numPr>
          <w:ilvl w:val="2"/>
          <w:numId w:val="224"/>
        </w:numPr>
        <w:ind w:hanging="0" w:left="567"/>
        <w:rPr>
          <w:rFonts w:ascii="Times New Roman" w:hAnsi="Times New Roman"/>
          <w:color w:val="000000"/>
        </w:rPr>
      </w:pPr>
      <w:r>
        <w:rPr>
          <w:rFonts w:ascii="Times New Roman" w:hAnsi="Times New Roman"/>
          <w:color w:val="000000"/>
        </w:rPr>
        <w:t>Os seguintes documentos para a comprovação da regularidade jurídica da cooperativa:</w:t>
      </w:r>
    </w:p>
    <w:p>
      <w:pPr>
        <w:pStyle w:val="Normal"/>
        <w:numPr>
          <w:ilvl w:val="3"/>
          <w:numId w:val="225"/>
        </w:numPr>
        <w:ind w:hanging="0" w:left="567"/>
        <w:rPr>
          <w:rFonts w:ascii="Times New Roman" w:hAnsi="Times New Roman"/>
          <w:color w:val="000000"/>
        </w:rPr>
      </w:pPr>
      <w:r>
        <w:rPr>
          <w:rFonts w:ascii="Times New Roman" w:hAnsi="Times New Roman"/>
          <w:color w:val="000000"/>
        </w:rPr>
        <w:t>ata de fundação;</w:t>
      </w:r>
    </w:p>
    <w:p>
      <w:pPr>
        <w:pStyle w:val="Normal"/>
        <w:numPr>
          <w:ilvl w:val="3"/>
          <w:numId w:val="226"/>
        </w:numPr>
        <w:ind w:hanging="0" w:left="567"/>
        <w:rPr>
          <w:rFonts w:ascii="Times New Roman" w:hAnsi="Times New Roman"/>
          <w:color w:val="000000"/>
        </w:rPr>
      </w:pPr>
      <w:r>
        <w:rPr>
          <w:rFonts w:ascii="Times New Roman" w:hAnsi="Times New Roman"/>
          <w:color w:val="000000"/>
        </w:rPr>
        <w:t>estatuto social com a ata da assembleia que o aprovou;</w:t>
      </w:r>
    </w:p>
    <w:p>
      <w:pPr>
        <w:pStyle w:val="Normal"/>
        <w:numPr>
          <w:ilvl w:val="3"/>
          <w:numId w:val="227"/>
        </w:numPr>
        <w:ind w:hanging="0" w:left="567"/>
        <w:rPr>
          <w:rFonts w:ascii="Times New Roman" w:hAnsi="Times New Roman"/>
          <w:color w:val="000000"/>
        </w:rPr>
      </w:pPr>
      <w:r>
        <w:rPr>
          <w:rFonts w:ascii="Times New Roman" w:hAnsi="Times New Roman"/>
          <w:color w:val="000000"/>
        </w:rPr>
        <w:t>regimento dos fundos instituídos pelos cooperados, com a ata da assembleia;</w:t>
      </w:r>
    </w:p>
    <w:p>
      <w:pPr>
        <w:pStyle w:val="Normal"/>
        <w:numPr>
          <w:ilvl w:val="3"/>
          <w:numId w:val="228"/>
        </w:numPr>
        <w:ind w:hanging="0" w:left="567"/>
        <w:rPr>
          <w:rFonts w:ascii="Times New Roman" w:hAnsi="Times New Roman"/>
          <w:color w:val="000000"/>
        </w:rPr>
      </w:pPr>
      <w:r>
        <w:rPr>
          <w:rFonts w:ascii="Times New Roman" w:hAnsi="Times New Roman"/>
          <w:color w:val="000000"/>
        </w:rPr>
        <w:t>editais de convocação das três últimas assembleias gerais extraordinárias;</w:t>
      </w:r>
    </w:p>
    <w:p>
      <w:pPr>
        <w:pStyle w:val="Normal"/>
        <w:numPr>
          <w:ilvl w:val="3"/>
          <w:numId w:val="229"/>
        </w:numPr>
        <w:ind w:hanging="0" w:left="567"/>
        <w:rPr>
          <w:rFonts w:ascii="Times New Roman" w:hAnsi="Times New Roman"/>
          <w:color w:val="000000"/>
        </w:rPr>
      </w:pPr>
      <w:r>
        <w:rPr>
          <w:rFonts w:ascii="Times New Roman" w:hAnsi="Times New Roman"/>
          <w:color w:val="000000"/>
        </w:rPr>
        <w:t>três registros de presença dos cooperados que executarão o contrato em assembleias gerais ou nas reuniões seccionais;</w:t>
      </w:r>
    </w:p>
    <w:p>
      <w:pPr>
        <w:pStyle w:val="Normal"/>
        <w:numPr>
          <w:ilvl w:val="3"/>
          <w:numId w:val="230"/>
        </w:numPr>
        <w:ind w:hanging="0" w:left="567"/>
        <w:rPr>
          <w:rFonts w:ascii="Times New Roman" w:hAnsi="Times New Roman"/>
          <w:color w:val="000000"/>
        </w:rPr>
      </w:pPr>
      <w:r>
        <w:rPr>
          <w:rFonts w:ascii="Times New Roman" w:hAnsi="Times New Roman"/>
          <w:color w:val="000000"/>
        </w:rPr>
        <w:t>ata da sessão que os cooperados autorizaram a cooperativa a contratar o objeto da contratação; e</w:t>
      </w:r>
    </w:p>
    <w:p>
      <w:pPr>
        <w:pStyle w:val="Normal"/>
        <w:numPr>
          <w:ilvl w:val="3"/>
          <w:numId w:val="231"/>
        </w:numPr>
        <w:ind w:hanging="0" w:left="567"/>
        <w:rPr>
          <w:rFonts w:ascii="Times New Roman" w:hAnsi="Times New Roman"/>
          <w:color w:val="000000"/>
        </w:rPr>
      </w:pPr>
      <w:bookmarkStart w:id="22" w:name="_Hlk82473550"/>
      <w:r>
        <w:rPr>
          <w:rFonts w:ascii="Times New Roman" w:hAnsi="Times New Roman"/>
          <w:color w:val="000000"/>
        </w:rPr>
        <w:t>última auditoria contábil-financeira da cooperativa, conforme dispõe o art. 112 da Lei n. 5.764, de 1971, ou uma declaração, sob as penas da lei, de que tal auditoria não foi exigida pelo órgão fiscalizador.</w:t>
      </w:r>
      <w:bookmarkEnd w:id="22"/>
    </w:p>
    <w:p>
      <w:pPr>
        <w:pStyle w:val="Normal"/>
        <w:ind w:hanging="0" w:left="567"/>
        <w:rPr>
          <w:rFonts w:ascii="Times New Roman" w:hAnsi="Times New Roman"/>
          <w:color w:val="000000"/>
        </w:rPr>
      </w:pPr>
      <w:r>
        <w:rPr>
          <w:rFonts w:ascii="Times New Roman" w:hAnsi="Times New Roman"/>
          <w:color w:val="000000"/>
        </w:rPr>
      </w:r>
    </w:p>
    <w:p>
      <w:pPr>
        <w:pStyle w:val="Normal"/>
        <w:numPr>
          <w:ilvl w:val="0"/>
          <w:numId w:val="1"/>
        </w:numPr>
        <w:ind w:hanging="357" w:left="567"/>
        <w:rPr>
          <w:b/>
          <w:bCs/>
        </w:rPr>
      </w:pPr>
      <w:r>
        <w:rPr>
          <w:rFonts w:ascii="Times New Roman" w:hAnsi="Times New Roman"/>
          <w:b/>
          <w:bCs/>
          <w:color w:val="000000"/>
        </w:rPr>
        <w:t>ESTIMATIVAS DO VALOR DA CONTRATAÇÃO</w:t>
      </w:r>
    </w:p>
    <w:p>
      <w:pPr>
        <w:pStyle w:val="Normal"/>
        <w:numPr>
          <w:ilvl w:val="1"/>
          <w:numId w:val="1"/>
        </w:numPr>
        <w:ind w:hanging="432" w:left="567"/>
        <w:rPr>
          <w:rFonts w:eastAsia="" w:eastAsiaTheme="minorEastAsia"/>
          <w:highlight w:val="none"/>
          <w:shd w:fill="auto" w:val="clear"/>
        </w:rPr>
      </w:pPr>
      <w:r>
        <w:rPr>
          <w:rFonts w:ascii="Times New Roman" w:hAnsi="Times New Roman"/>
          <w:color w:val="000000"/>
        </w:rPr>
        <w:t xml:space="preserve">O custo estimado total da contratação, que é o máximo aceitável, é de R$ 300.000,00. (trezentos mil reais), conforme custos unitários apostos na </w:t>
      </w:r>
      <w:r>
        <w:rPr>
          <w:rFonts w:ascii="Times New Roman" w:hAnsi="Times New Roman"/>
          <w:b/>
          <w:bCs/>
          <w:color w:val="000000"/>
        </w:rPr>
        <w:t xml:space="preserve">tabela contida no item </w:t>
      </w:r>
      <w:r>
        <w:rPr>
          <w:rFonts w:ascii="Times New Roman" w:hAnsi="Times New Roman"/>
          <w:b/>
          <w:bCs/>
          <w:color w:val="000000"/>
        </w:rPr>
        <w:fldChar w:fldCharType="begin"/>
      </w:r>
      <w:r>
        <w:rPr>
          <w:b/>
          <w:bCs/>
          <w:rFonts w:ascii="Times New Roman" w:hAnsi="Times New Roman"/>
          <w:color w:val="000000"/>
        </w:rPr>
        <w:instrText xml:space="preserve"> REF _Ref172095982 \r \r \h </w:instrText>
      </w:r>
      <w:r>
        <w:rPr>
          <w:b/>
          <w:bCs/>
          <w:rFonts w:ascii="Times New Roman" w:hAnsi="Times New Roman"/>
          <w:color w:val="000000"/>
        </w:rPr>
        <w:fldChar w:fldCharType="separate"/>
      </w:r>
      <w:r>
        <w:rPr>
          <w:b/>
          <w:bCs/>
          <w:rFonts w:ascii="Times New Roman" w:hAnsi="Times New Roman"/>
          <w:color w:val="000000"/>
        </w:rPr>
        <w:t>1.1</w:t>
      </w:r>
      <w:r>
        <w:rPr>
          <w:b/>
          <w:bCs/>
          <w:rFonts w:ascii="Times New Roman" w:hAnsi="Times New Roman"/>
          <w:color w:val="000000"/>
        </w:rPr>
        <w:fldChar w:fldCharType="end"/>
      </w:r>
      <w:r>
        <w:rPr>
          <w:rFonts w:ascii="Times New Roman" w:hAnsi="Times New Roman"/>
          <w:b/>
          <w:bCs/>
          <w:color w:val="000000"/>
        </w:rPr>
        <w:t>.</w:t>
      </w:r>
    </w:p>
    <w:p>
      <w:pPr>
        <w:pStyle w:val="Normal"/>
        <w:numPr>
          <w:ilvl w:val="1"/>
          <w:numId w:val="1"/>
        </w:numPr>
        <w:ind w:hanging="432" w:left="567"/>
        <w:rPr>
          <w:rFonts w:ascii="Times New Roman" w:hAnsi="Times New Roman" w:eastAsia="" w:eastAsiaTheme="minorEastAsia"/>
          <w:color w:val="000000"/>
          <w:highlight w:val="none"/>
          <w:shd w:fill="auto" w:val="clear"/>
        </w:rPr>
      </w:pPr>
      <w:r>
        <w:rPr>
          <w:rFonts w:eastAsia="" w:ascii="Times New Roman" w:hAnsi="Times New Roman" w:eastAsiaTheme="minorEastAsia"/>
          <w:color w:val="000000"/>
          <w:shd w:fill="auto" w:val="clear"/>
        </w:rPr>
        <w:t>A estimativa de custo levou em consideração o risco envolvido na contratação e sua alocação entre Contratante e Contratado, conforme especificado na matriz de risco constante do Contrato.</w:t>
      </w:r>
    </w:p>
    <w:p>
      <w:pPr>
        <w:pStyle w:val="Normal"/>
        <w:numPr>
          <w:ilvl w:val="1"/>
          <w:numId w:val="1"/>
        </w:numPr>
        <w:ind w:hanging="432" w:left="567"/>
        <w:rPr>
          <w:highlight w:val="none"/>
          <w:shd w:fill="auto" w:val="clear"/>
        </w:rPr>
      </w:pPr>
      <w:r>
        <w:rPr>
          <w:rFonts w:ascii="Times New Roman" w:hAnsi="Times New Roman"/>
          <w:color w:val="000000"/>
          <w:shd w:fill="auto" w:val="clear"/>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pPr>
        <w:pStyle w:val="Normal"/>
        <w:numPr>
          <w:ilvl w:val="2"/>
          <w:numId w:val="232"/>
        </w:numPr>
        <w:ind w:hanging="0" w:left="567"/>
        <w:rPr>
          <w:highlight w:val="none"/>
          <w:shd w:fill="auto" w:val="clear"/>
        </w:rPr>
      </w:pPr>
      <w:r>
        <w:rPr>
          <w:rFonts w:ascii="Times New Roman" w:hAnsi="Times New Roman"/>
          <w:color w:val="000000"/>
          <w:shd w:fill="auto" w:val="clear"/>
        </w:rPr>
        <w:t>em caso de força maior, caso fortuito ou fato do príncipe ou em decorrência de fatos imprevisíveis ou previsíveis de consequências incalculáveis, que inviabilizem a execução da ata tal como pactuada, nos termos do disposto na a</w:t>
      </w:r>
      <w:r>
        <w:rPr>
          <w:rFonts w:eastAsia="Arial" w:ascii="Times New Roman" w:hAnsi="Times New Roman"/>
          <w:color w:val="000000"/>
          <w:szCs w:val="20"/>
          <w:shd w:fill="auto" w:val="clear"/>
        </w:rPr>
        <w:t>línea “d” do inciso II do capu</w:t>
      </w:r>
      <w:r>
        <w:rPr>
          <w:rFonts w:eastAsia="Arial" w:ascii="Times New Roman" w:hAnsi="Times New Roman"/>
          <w:b/>
          <w:bCs/>
          <w:color w:val="000000"/>
          <w:szCs w:val="20"/>
          <w:shd w:fill="auto" w:val="clear"/>
        </w:rPr>
        <w:t>t</w:t>
      </w:r>
      <w:r>
        <w:rPr>
          <w:rFonts w:eastAsia="Arial" w:ascii="Times New Roman" w:hAnsi="Times New Roman"/>
          <w:color w:val="000000"/>
          <w:szCs w:val="20"/>
          <w:shd w:fill="auto" w:val="clear"/>
        </w:rPr>
        <w:t xml:space="preserve"> do art. 124 da Lei nº 14.133, de 2021;</w:t>
      </w:r>
    </w:p>
    <w:p>
      <w:pPr>
        <w:pStyle w:val="Normal"/>
        <w:numPr>
          <w:ilvl w:val="2"/>
          <w:numId w:val="233"/>
        </w:numPr>
        <w:ind w:hanging="0" w:left="567"/>
        <w:rPr>
          <w:highlight w:val="none"/>
          <w:shd w:fill="auto" w:val="clear"/>
        </w:rPr>
      </w:pPr>
      <w:r>
        <w:rPr>
          <w:rFonts w:ascii="Times New Roman" w:hAnsi="Times New Roman"/>
          <w:i/>
          <w:color w:val="000000"/>
          <w:shd w:fill="auto" w:val="clear"/>
        </w:rPr>
        <w:t>em caso de criação, alteração ou extinção de quaisquer tributos ou encargos legais ou superveniência de disposições legais, com comprovada repercussão sobre os preços registrados;</w:t>
      </w:r>
    </w:p>
    <w:p>
      <w:pPr>
        <w:pStyle w:val="Normal"/>
        <w:numPr>
          <w:ilvl w:val="2"/>
          <w:numId w:val="234"/>
        </w:numPr>
        <w:ind w:hanging="0" w:left="567"/>
        <w:rPr>
          <w:highlight w:val="none"/>
          <w:shd w:fill="auto" w:val="clear"/>
        </w:rPr>
      </w:pPr>
      <w:r>
        <w:rPr>
          <w:rFonts w:ascii="Times New Roman" w:hAnsi="Times New Roman"/>
          <w:i/>
          <w:color w:val="000000"/>
          <w:shd w:fill="auto" w:val="clear"/>
        </w:rPr>
        <w:t>serão reajustados os preços registrados, respeitada a contagem da anualidade e o índice previsto para a contratação; ou</w:t>
      </w:r>
    </w:p>
    <w:p>
      <w:pPr>
        <w:pStyle w:val="Normal"/>
        <w:numPr>
          <w:ilvl w:val="2"/>
          <w:numId w:val="235"/>
        </w:numPr>
        <w:ind w:hanging="0" w:left="567"/>
        <w:rPr>
          <w:highlight w:val="none"/>
          <w:shd w:fill="auto" w:val="clear"/>
        </w:rPr>
      </w:pPr>
      <w:r>
        <w:rPr>
          <w:rFonts w:ascii="Times New Roman" w:hAnsi="Times New Roman"/>
          <w:i/>
          <w:color w:val="000000"/>
          <w:shd w:fill="auto" w:val="clear"/>
        </w:rPr>
        <w:t>poderão ser repactuados, a pedido do interessado, conforme critérios definidos para a contratação.</w:t>
      </w:r>
    </w:p>
    <w:p>
      <w:pPr>
        <w:pStyle w:val="Normal"/>
        <w:ind w:hanging="0" w:left="567"/>
        <w:rPr>
          <w:rFonts w:ascii="Times New Roman" w:hAnsi="Times New Roman"/>
          <w:i/>
          <w:i/>
          <w:color w:val="000000"/>
        </w:rPr>
      </w:pPr>
      <w:r>
        <w:rPr>
          <w:rFonts w:ascii="Times New Roman" w:hAnsi="Times New Roman"/>
          <w:i/>
          <w:color w:val="000000"/>
        </w:rPr>
      </w:r>
    </w:p>
    <w:p>
      <w:pPr>
        <w:pStyle w:val="Normal"/>
        <w:numPr>
          <w:ilvl w:val="0"/>
          <w:numId w:val="1"/>
        </w:numPr>
        <w:ind w:hanging="357" w:left="567"/>
        <w:rPr>
          <w:b/>
          <w:bCs/>
        </w:rPr>
      </w:pPr>
      <w:r>
        <w:rPr>
          <w:rFonts w:ascii="Times New Roman" w:hAnsi="Times New Roman"/>
          <w:b/>
          <w:bCs/>
          <w:color w:val="000000"/>
        </w:rPr>
        <w:t>ADEQUAÇÃO ORÇAMENTÁRIA</w:t>
      </w:r>
    </w:p>
    <w:p>
      <w:pPr>
        <w:pStyle w:val="Normal"/>
        <w:numPr>
          <w:ilvl w:val="1"/>
          <w:numId w:val="1"/>
        </w:numPr>
        <w:ind w:hanging="0" w:left="567"/>
        <w:rPr>
          <w:rFonts w:ascii="Times New Roman" w:hAnsi="Times New Roman"/>
          <w:color w:val="000000"/>
        </w:rPr>
      </w:pPr>
      <w:r>
        <w:rPr>
          <w:rFonts w:ascii="Times New Roman" w:hAnsi="Times New Roman"/>
          <w:color w:val="000000"/>
        </w:rPr>
        <w:t>As despesas decorrentes da presente contratação correrão à conta de recursos específicos consignados no Orçamento Geral da União.</w:t>
      </w:r>
    </w:p>
    <w:p>
      <w:pPr>
        <w:pStyle w:val="Normal"/>
        <w:numPr>
          <w:ilvl w:val="1"/>
          <w:numId w:val="1"/>
        </w:numPr>
        <w:ind w:hanging="0" w:left="567"/>
        <w:rPr>
          <w:rFonts w:ascii="Times New Roman" w:hAnsi="Times New Roman"/>
          <w:color w:val="000000"/>
        </w:rPr>
      </w:pPr>
      <w:r>
        <w:rPr>
          <w:rFonts w:ascii="Times New Roman" w:hAnsi="Times New Roman"/>
          <w:color w:val="000000"/>
        </w:rPr>
        <w:t>A contratação será atendida pela seguinte dotação:</w:t>
      </w:r>
    </w:p>
    <w:p>
      <w:pPr>
        <w:pStyle w:val="Normal"/>
        <w:numPr>
          <w:ilvl w:val="0"/>
          <w:numId w:val="4"/>
        </w:numPr>
        <w:spacing w:before="120" w:after="120"/>
        <w:ind w:hanging="9" w:left="567"/>
        <w:contextualSpacing/>
        <w:jc w:val="both"/>
        <w:rPr>
          <w:rFonts w:ascii="Times New Roman" w:hAnsi="Times New Roman"/>
          <w:color w:val="000000"/>
        </w:rPr>
      </w:pPr>
      <w:r>
        <w:rPr>
          <w:rFonts w:eastAsia="Arial" w:cs="Arial" w:ascii="Times New Roman" w:hAnsi="Times New Roman"/>
          <w:color w:val="000000"/>
          <w:sz w:val="20"/>
          <w:szCs w:val="20"/>
        </w:rPr>
        <w:t>Gestão/unidade: [...];</w:t>
      </w:r>
    </w:p>
    <w:p>
      <w:pPr>
        <w:pStyle w:val="Normal"/>
        <w:numPr>
          <w:ilvl w:val="0"/>
          <w:numId w:val="4"/>
        </w:numPr>
        <w:spacing w:before="120" w:after="120"/>
        <w:ind w:hanging="0" w:left="567"/>
        <w:contextualSpacing/>
        <w:jc w:val="both"/>
        <w:rPr>
          <w:rFonts w:ascii="Times New Roman" w:hAnsi="Times New Roman"/>
          <w:color w:val="000000"/>
        </w:rPr>
      </w:pPr>
      <w:r>
        <w:rPr>
          <w:rFonts w:eastAsia="Arial" w:cs="Arial" w:ascii="Times New Roman" w:hAnsi="Times New Roman"/>
          <w:color w:val="000000"/>
          <w:sz w:val="20"/>
          <w:szCs w:val="20"/>
        </w:rPr>
        <w:t>Fonte de recursos: [...];</w:t>
      </w:r>
    </w:p>
    <w:p>
      <w:pPr>
        <w:pStyle w:val="Normal"/>
        <w:numPr>
          <w:ilvl w:val="0"/>
          <w:numId w:val="4"/>
        </w:numPr>
        <w:spacing w:before="120" w:after="120"/>
        <w:ind w:hanging="0" w:left="567"/>
        <w:contextualSpacing/>
        <w:jc w:val="both"/>
        <w:rPr>
          <w:rFonts w:ascii="Times New Roman" w:hAnsi="Times New Roman"/>
          <w:color w:val="000000"/>
        </w:rPr>
      </w:pPr>
      <w:r>
        <w:rPr>
          <w:rFonts w:eastAsia="Arial" w:cs="Arial" w:ascii="Times New Roman" w:hAnsi="Times New Roman"/>
          <w:color w:val="000000"/>
          <w:sz w:val="20"/>
          <w:szCs w:val="20"/>
        </w:rPr>
        <w:t>Programa de trabalho: [...];</w:t>
      </w:r>
    </w:p>
    <w:p>
      <w:pPr>
        <w:pStyle w:val="Normal"/>
        <w:numPr>
          <w:ilvl w:val="0"/>
          <w:numId w:val="4"/>
        </w:numPr>
        <w:spacing w:before="120" w:after="120"/>
        <w:ind w:hanging="0" w:left="567"/>
        <w:contextualSpacing/>
        <w:jc w:val="both"/>
        <w:rPr>
          <w:rFonts w:ascii="Times New Roman" w:hAnsi="Times New Roman"/>
          <w:color w:val="000000"/>
        </w:rPr>
      </w:pPr>
      <w:r>
        <w:rPr>
          <w:rFonts w:eastAsia="Arial" w:cs="Arial" w:ascii="Times New Roman" w:hAnsi="Times New Roman"/>
          <w:color w:val="000000"/>
          <w:sz w:val="20"/>
          <w:szCs w:val="20"/>
        </w:rPr>
        <w:t>Elemento de despesa: [...]; e</w:t>
      </w:r>
    </w:p>
    <w:p>
      <w:pPr>
        <w:pStyle w:val="Normal"/>
        <w:numPr>
          <w:ilvl w:val="0"/>
          <w:numId w:val="4"/>
        </w:numPr>
        <w:spacing w:before="120" w:after="120"/>
        <w:ind w:hanging="0" w:left="567"/>
        <w:contextualSpacing/>
        <w:jc w:val="both"/>
        <w:rPr>
          <w:rFonts w:ascii="Times New Roman" w:hAnsi="Times New Roman"/>
          <w:color w:val="000000"/>
        </w:rPr>
      </w:pPr>
      <w:r>
        <w:rPr>
          <w:rFonts w:eastAsia="Arial" w:cs="Arial" w:ascii="Times New Roman" w:hAnsi="Times New Roman"/>
          <w:color w:val="000000"/>
          <w:sz w:val="20"/>
          <w:szCs w:val="20"/>
        </w:rPr>
        <w:t>Plano interno: [...].</w:t>
      </w:r>
    </w:p>
    <w:p>
      <w:pPr>
        <w:pStyle w:val="Normal"/>
        <w:numPr>
          <w:ilvl w:val="1"/>
          <w:numId w:val="1"/>
        </w:numPr>
        <w:ind w:hanging="432" w:left="567"/>
        <w:rPr>
          <w:rFonts w:ascii="Times New Roman" w:hAnsi="Times New Roman"/>
          <w:color w:val="000000"/>
        </w:rPr>
      </w:pPr>
      <w:r>
        <w:rPr>
          <w:rFonts w:ascii="Times New Roman" w:hAnsi="Times New Roman"/>
          <w:color w:val="000000"/>
        </w:rPr>
        <w:t>A dotação relativa aos exercícios financeiros subsequentes será indicada após aprovação da Lei Orçamentária respectiva e liberação dos créditos correspondentes, mediante apostilamento.</w:t>
      </w:r>
    </w:p>
    <w:p>
      <w:pPr>
        <w:pStyle w:val="Normal"/>
        <w:ind w:hanging="432" w:left="567"/>
        <w:rPr>
          <w:rFonts w:ascii="Times New Roman" w:hAnsi="Times New Roman"/>
          <w:color w:val="000000"/>
        </w:rPr>
      </w:pPr>
      <w:r>
        <w:rPr>
          <w:rFonts w:ascii="Times New Roman" w:hAnsi="Times New Roman"/>
          <w:color w:val="000000"/>
        </w:rPr>
      </w:r>
    </w:p>
    <w:p>
      <w:pPr>
        <w:pStyle w:val="Normal"/>
        <w:numPr>
          <w:ilvl w:val="0"/>
          <w:numId w:val="1"/>
        </w:numPr>
        <w:ind w:hanging="357" w:left="567"/>
        <w:rPr>
          <w:b/>
          <w:bCs/>
        </w:rPr>
      </w:pPr>
      <w:r>
        <w:rPr>
          <w:rFonts w:ascii="Times New Roman" w:hAnsi="Times New Roman"/>
          <w:b/>
          <w:bCs/>
          <w:color w:val="000000"/>
        </w:rPr>
        <w:t>DISPOSIÇÕES FINAIS</w:t>
      </w:r>
    </w:p>
    <w:p>
      <w:pPr>
        <w:pStyle w:val="Normal"/>
        <w:numPr>
          <w:ilvl w:val="1"/>
          <w:numId w:val="1"/>
        </w:numPr>
        <w:ind w:hanging="0" w:left="567"/>
        <w:rPr>
          <w:rFonts w:ascii="Times New Roman" w:hAnsi="Times New Roman"/>
          <w:color w:val="000000"/>
        </w:rPr>
      </w:pPr>
      <w:bookmarkStart w:id="23" w:name="_Hlk82471863"/>
      <w:r>
        <w:rPr>
          <w:rFonts w:ascii="Times New Roman" w:hAnsi="Times New Roman"/>
          <w:color w:val="000000"/>
        </w:rPr>
        <w:t>As informações contidas neste Termo de Referência não são classificadas como sigilosas.</w:t>
      </w:r>
      <w:bookmarkEnd w:id="23"/>
    </w:p>
    <w:p>
      <w:pPr>
        <w:pStyle w:val="Normal"/>
        <w:ind w:hanging="0" w:left="567"/>
        <w:rPr>
          <w:rFonts w:ascii="Times New Roman" w:hAnsi="Times New Roman"/>
          <w:color w:val="000000"/>
        </w:rPr>
      </w:pPr>
      <w:r>
        <w:rPr>
          <w:rFonts w:ascii="Times New Roman" w:hAnsi="Times New Roman"/>
          <w:color w:val="000000"/>
        </w:rPr>
      </w:r>
    </w:p>
    <w:p>
      <w:pPr>
        <w:pStyle w:val="Normal"/>
        <w:numPr>
          <w:ilvl w:val="0"/>
          <w:numId w:val="0"/>
        </w:numPr>
        <w:ind w:hanging="0" w:left="567"/>
        <w:jc w:val="center"/>
        <w:rPr>
          <w:rFonts w:ascii="Times New Roman" w:hAnsi="Times New Roman" w:eastAsia="" w:eastAsiaTheme="minorEastAsia"/>
          <w:color w:val="000000"/>
          <w:highlight w:val="none"/>
          <w:shd w:fill="auto" w:val="clear"/>
        </w:rPr>
      </w:pPr>
      <w:r>
        <w:rPr>
          <w:rFonts w:eastAsia="" w:ascii="Times New Roman" w:hAnsi="Times New Roman" w:eastAsiaTheme="minorEastAsia"/>
          <w:color w:val="000000"/>
          <w:shd w:fill="auto" w:val="clear"/>
        </w:rPr>
        <w:t>Paracambi-RJ, 20 de janeiro de 2025.</w:t>
      </w:r>
    </w:p>
    <w:p>
      <w:pPr>
        <w:pStyle w:val="Normal"/>
        <w:numPr>
          <w:ilvl w:val="0"/>
          <w:numId w:val="0"/>
        </w:numPr>
        <w:ind w:hanging="0" w:left="567"/>
        <w:rPr>
          <w:rFonts w:ascii="Times New Roman" w:hAnsi="Times New Roman" w:eastAsia="" w:eastAsiaTheme="minorEastAsia"/>
          <w:color w:val="000000"/>
          <w:highlight w:val="none"/>
          <w:shd w:fill="auto" w:val="clear"/>
        </w:rPr>
      </w:pPr>
      <w:r>
        <w:rPr>
          <w:rFonts w:eastAsia="" w:eastAsiaTheme="minorEastAsia" w:ascii="Times New Roman" w:hAnsi="Times New Roman"/>
          <w:color w:val="000000"/>
          <w:shd w:fill="auto" w:val="clear"/>
        </w:rPr>
      </w:r>
    </w:p>
    <w:p>
      <w:pPr>
        <w:pStyle w:val="Normal"/>
        <w:numPr>
          <w:ilvl w:val="0"/>
          <w:numId w:val="0"/>
        </w:numPr>
        <w:ind w:hanging="0" w:left="567"/>
        <w:rPr>
          <w:rFonts w:ascii="Times New Roman" w:hAnsi="Times New Roman" w:eastAsia="" w:eastAsiaTheme="minorEastAsia"/>
          <w:color w:val="000000"/>
          <w:highlight w:val="none"/>
          <w:shd w:fill="auto" w:val="clear"/>
        </w:rPr>
      </w:pPr>
      <w:r>
        <w:rPr>
          <w:rFonts w:eastAsia="" w:eastAsiaTheme="minorEastAsia" w:ascii="Times New Roman" w:hAnsi="Times New Roman"/>
          <w:color w:val="000000"/>
          <w:shd w:fill="auto" w:val="clear"/>
        </w:rPr>
      </w:r>
    </w:p>
    <w:p>
      <w:pPr>
        <w:pStyle w:val="Normal"/>
        <w:spacing w:lineRule="auto" w:line="312" w:before="360" w:after="0"/>
        <w:ind w:hanging="0" w:left="567"/>
        <w:jc w:val="center"/>
        <w:rPr>
          <w:rFonts w:ascii="Times New Roman" w:hAnsi="Times New Roman" w:eastAsia="" w:eastAsiaTheme="minorEastAsia"/>
          <w:color w:val="000000"/>
          <w:highlight w:val="none"/>
          <w:shd w:fill="auto" w:val="clear"/>
        </w:rPr>
      </w:pPr>
      <w:r>
        <w:rPr>
          <w:rFonts w:eastAsia="Arial" w:cs="Arial" w:ascii="Times New Roman" w:hAnsi="Times New Roman"/>
          <w:color w:val="000000"/>
          <w:sz w:val="20"/>
          <w:szCs w:val="20"/>
          <w:shd w:fill="auto" w:val="clear"/>
        </w:rPr>
        <w:t>________________________________________________</w:t>
      </w:r>
    </w:p>
    <w:p>
      <w:pPr>
        <w:pStyle w:val="Normal"/>
        <w:spacing w:before="0" w:after="0"/>
        <w:ind w:hanging="0" w:left="0" w:right="0"/>
        <w:jc w:val="center"/>
        <w:rPr>
          <w:rFonts w:eastAsia="" w:eastAsiaTheme="minorEastAsia"/>
          <w:color w:val="000000"/>
          <w:highlight w:val="none"/>
          <w:shd w:fill="auto" w:val="clear"/>
        </w:rPr>
      </w:pPr>
      <w:r>
        <w:rPr>
          <w:rFonts w:eastAsia="Arial" w:cs="Arial" w:ascii="Arial" w:hAnsi="Arial"/>
          <w:b/>
          <w:bCs/>
          <w:color w:val="000000"/>
          <w:sz w:val="24"/>
          <w:szCs w:val="24"/>
          <w:shd w:fill="auto" w:val="clear"/>
        </w:rPr>
        <w:t>RONALDO EIDY IRIE – CAP</w:t>
      </w:r>
    </w:p>
    <w:p>
      <w:pPr>
        <w:pStyle w:val="Normal"/>
        <w:spacing w:lineRule="auto" w:line="312" w:before="120" w:after="288"/>
        <w:ind w:left="357"/>
        <w:jc w:val="center"/>
        <w:rPr>
          <w:rFonts w:eastAsia="" w:eastAsiaTheme="minorEastAsia"/>
          <w:color w:val="000000"/>
          <w:highlight w:val="none"/>
          <w:shd w:fill="auto" w:val="clear"/>
        </w:rPr>
      </w:pPr>
      <w:r>
        <w:rPr>
          <w:rFonts w:eastAsia="Arial" w:cs="Arial" w:ascii="Arial" w:hAnsi="Arial"/>
          <w:color w:val="000000"/>
          <w:sz w:val="24"/>
          <w:szCs w:val="24"/>
          <w:shd w:fill="auto" w:val="clear"/>
        </w:rPr>
        <w:t>Responsável pelo Termo de Referência</w:t>
      </w:r>
      <w:r>
        <w:br w:type="page"/>
      </w:r>
    </w:p>
    <w:p>
      <w:pPr>
        <w:pStyle w:val="Normal"/>
        <w:numPr>
          <w:ilvl w:val="0"/>
          <w:numId w:val="0"/>
        </w:numPr>
        <w:spacing w:before="0" w:after="0"/>
        <w:ind w:hanging="0" w:left="567"/>
        <w:jc w:val="center"/>
        <w:outlineLvl w:val="0"/>
        <w:rPr>
          <w:rFonts w:ascii="Times New Roman" w:hAnsi="Times New Roman"/>
          <w:color w:val="000000"/>
        </w:rPr>
      </w:pPr>
      <w:r>
        <w:rPr>
          <w:rFonts w:cs="Arial" w:ascii="Times New Roman" w:hAnsi="Times New Roman"/>
          <w:b/>
          <w:color w:val="000000"/>
          <w:sz w:val="20"/>
          <w:szCs w:val="20"/>
        </w:rPr>
        <w:t>ANEXO I</w:t>
      </w:r>
      <w:r>
        <w:rPr>
          <w:rFonts w:cs="Arial" w:ascii="Times New Roman" w:hAnsi="Times New Roman"/>
          <w:b/>
          <w:color w:val="000000"/>
          <w:sz w:val="20"/>
          <w:szCs w:val="20"/>
        </w:rPr>
        <w:t>V</w:t>
      </w:r>
    </w:p>
    <w:p>
      <w:pPr>
        <w:pStyle w:val="Normal"/>
        <w:spacing w:before="0" w:after="360"/>
        <w:ind w:left="567"/>
        <w:jc w:val="center"/>
        <w:rPr>
          <w:rFonts w:ascii="Times New Roman" w:hAnsi="Times New Roman"/>
          <w:color w:val="000000"/>
        </w:rPr>
      </w:pPr>
      <w:r>
        <w:rPr>
          <w:rFonts w:cs="Arial" w:ascii="Times New Roman" w:hAnsi="Times New Roman"/>
          <w:b/>
          <w:color w:val="000000"/>
          <w:sz w:val="20"/>
          <w:szCs w:val="20"/>
        </w:rPr>
        <w:t>TERMO DE CIÊNCIA E CONCORDÂNCIA</w:t>
      </w:r>
    </w:p>
    <w:p>
      <w:pPr>
        <w:pStyle w:val="Normal"/>
        <w:spacing w:lineRule="auto" w:line="276" w:before="120" w:after="120"/>
        <w:ind w:firstLine="1134" w:left="567"/>
        <w:jc w:val="both"/>
        <w:rPr>
          <w:rFonts w:ascii="Times New Roman" w:hAnsi="Times New Roman"/>
          <w:color w:val="000000"/>
        </w:rPr>
      </w:pPr>
      <w:r>
        <w:rPr>
          <w:rFonts w:cs="Arial" w:ascii="Times New Roman" w:hAnsi="Times New Roman"/>
          <w:color w:val="000000"/>
          <w:sz w:val="20"/>
          <w:szCs w:val="20"/>
        </w:rPr>
        <w:t xml:space="preserve">Por meio deste instrumento, ..................... </w:t>
      </w:r>
      <w:r>
        <w:rPr>
          <w:rFonts w:cs="Arial" w:ascii="Times New Roman" w:hAnsi="Times New Roman"/>
          <w:i/>
          <w:iCs/>
          <w:color w:val="000000"/>
          <w:sz w:val="20"/>
          <w:szCs w:val="20"/>
        </w:rPr>
        <w:t>(identificar o Contratado)</w:t>
      </w:r>
      <w:r>
        <w:rPr>
          <w:rFonts w:cs="Arial" w:ascii="Times New Roman" w:hAnsi="Times New Roman"/>
          <w:color w:val="000000"/>
          <w:sz w:val="20"/>
          <w:szCs w:val="20"/>
        </w:rPr>
        <w:t xml:space="preserve"> declara que está ciente e concorda com as disposições e obrigações previstas no</w:t>
      </w:r>
      <w:r>
        <w:rPr>
          <w:rFonts w:cs="Arial" w:ascii="Times New Roman" w:hAnsi="Times New Roman"/>
          <w:i/>
          <w:iCs/>
          <w:color w:val="000000"/>
          <w:sz w:val="20"/>
          <w:szCs w:val="20"/>
        </w:rPr>
        <w:t xml:space="preserve"> Edital</w:t>
      </w:r>
      <w:r>
        <w:rPr>
          <w:rFonts w:cs="Arial" w:ascii="Times New Roman" w:hAnsi="Times New Roman"/>
          <w:color w:val="000000"/>
          <w:sz w:val="20"/>
          <w:szCs w:val="20"/>
        </w:rPr>
        <w:t xml:space="preserve">, no Termo de Referência e nos demais anexos a que se refere o </w:t>
      </w:r>
      <w:r>
        <w:rPr>
          <w:rFonts w:cs="Arial" w:ascii="Times New Roman" w:hAnsi="Times New Roman"/>
          <w:i/>
          <w:iCs/>
          <w:color w:val="000000"/>
          <w:sz w:val="20"/>
          <w:szCs w:val="20"/>
        </w:rPr>
        <w:t>Pregão</w:t>
      </w:r>
      <w:r>
        <w:rPr>
          <w:rFonts w:cs="Arial" w:ascii="Times New Roman" w:hAnsi="Times New Roman"/>
          <w:color w:val="000000"/>
          <w:sz w:val="20"/>
          <w:szCs w:val="20"/>
        </w:rPr>
        <w:t xml:space="preserve"> n° 90019/2024......., bem como que se responsabiliza, sob as penas da Lei, pela veracidade e legitimidade das informações e documentos apresentados durante o processo de contratação.</w:t>
      </w:r>
    </w:p>
    <w:p>
      <w:pPr>
        <w:pStyle w:val="Normal"/>
        <w:spacing w:before="360" w:after="0"/>
        <w:ind w:left="567"/>
        <w:jc w:val="center"/>
        <w:rPr>
          <w:rFonts w:ascii="Times New Roman" w:hAnsi="Times New Roman"/>
          <w:color w:val="000000"/>
        </w:rPr>
      </w:pPr>
      <w:r>
        <w:rPr>
          <w:rFonts w:cs="Arial" w:ascii="Times New Roman" w:hAnsi="Times New Roman"/>
          <w:color w:val="000000"/>
          <w:sz w:val="20"/>
          <w:szCs w:val="20"/>
        </w:rPr>
        <w:t>Local-UF, ........ de ................... de 20.... .</w:t>
      </w:r>
    </w:p>
    <w:p>
      <w:pPr>
        <w:pStyle w:val="Normal"/>
        <w:spacing w:before="480" w:after="0"/>
        <w:ind w:left="567"/>
        <w:jc w:val="center"/>
        <w:rPr>
          <w:rFonts w:ascii="Times New Roman" w:hAnsi="Times New Roman"/>
          <w:color w:val="000000"/>
        </w:rPr>
      </w:pPr>
      <w:r>
        <w:rPr>
          <w:rFonts w:cs="Arial" w:ascii="Times New Roman" w:hAnsi="Times New Roman"/>
          <w:color w:val="000000"/>
          <w:sz w:val="20"/>
          <w:szCs w:val="20"/>
        </w:rPr>
        <w:t>__________________________________________</w:t>
      </w:r>
    </w:p>
    <w:p>
      <w:pPr>
        <w:pStyle w:val="Normal"/>
        <w:ind w:left="567"/>
        <w:jc w:val="center"/>
        <w:rPr>
          <w:rFonts w:ascii="Times New Roman" w:hAnsi="Times New Roman"/>
          <w:color w:val="000000"/>
        </w:rPr>
      </w:pPr>
      <w:r>
        <w:rPr>
          <w:rFonts w:cs="Arial" w:ascii="Times New Roman" w:hAnsi="Times New Roman"/>
          <w:color w:val="000000"/>
          <w:sz w:val="20"/>
          <w:szCs w:val="20"/>
        </w:rPr>
        <w:t xml:space="preserve">(Nome </w:t>
      </w:r>
      <w:r>
        <w:rPr>
          <w:rFonts w:cs="Arial" w:ascii="Times New Roman" w:hAnsi="Times New Roman"/>
          <w:i/>
          <w:iCs/>
          <w:color w:val="000000"/>
          <w:sz w:val="20"/>
          <w:szCs w:val="20"/>
        </w:rPr>
        <w:t>e Cargo do Representante Legal</w:t>
      </w:r>
      <w:r>
        <w:rPr>
          <w:rFonts w:cs="Arial" w:ascii="Times New Roman" w:hAnsi="Times New Roman"/>
          <w:color w:val="000000"/>
          <w:sz w:val="20"/>
          <w:szCs w:val="20"/>
        </w:rPr>
        <w:t>)</w:t>
      </w:r>
    </w:p>
    <w:sectPr>
      <w:footerReference w:type="even" r:id="rId3"/>
      <w:footerReference w:type="default" r:id="rId4"/>
      <w:footerReference w:type="first" r:id="rId5"/>
      <w:type w:val="nextPage"/>
      <w:pgSz w:w="11906" w:h="16838"/>
      <w:pgMar w:left="1134" w:right="1134" w:gutter="0" w:header="0" w:top="141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swiss"/>
    <w:pitch w:val="variable"/>
  </w:font>
  <w:font w:name="Calibri">
    <w:charset w:val="00"/>
    <w:family w:val="swiss"/>
    <w:pitch w:val="variable"/>
  </w:font>
  <w:font w:name="Tahoma">
    <w:charset w:val="00"/>
    <w:family w:val="swiss"/>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Gallery w:val="Page Numbers (Bottom of Page)"/>
        <w:docPartUnique w:val="true"/>
      </w:docPartObj>
      <w:id w:val="-385111139"/>
    </w:sdtPr>
    <w:sdtContent>
      <w:p>
        <w:pPr>
          <w:pStyle w:val="Normal"/>
          <w:rPr>
            <w:color w:themeColor="text2" w:themeTint="99" w:val="548DD4"/>
            <w:spacing w:val="60"/>
            <w:sz w:val="16"/>
            <w:szCs w:val="16"/>
          </w:rPr>
        </w:pPr>
        <w:r>
          <w:rPr>
            <w:color w:themeColor="text2" w:themeTint="99" w:val="548DD4"/>
            <w:spacing w:val="60"/>
            <w:sz w:val="22"/>
            <w:szCs w:val="22"/>
          </w:rPr>
          <w:tab/>
          <w:tab/>
        </w:r>
      </w:p>
      <w:p>
        <w:pPr>
          <w:pStyle w:val="Normal"/>
          <w:rPr>
            <w:rFonts w:ascii="Arial" w:hAnsi="Arial" w:cs="Arial"/>
            <w:color w:themeColor="text1" w:themeTint="80" w:val="7F7F7F"/>
            <w:sz w:val="18"/>
            <w:szCs w:val="18"/>
          </w:rPr>
        </w:pPr>
        <w:r>
          <w:rPr>
            <w:color w:themeColor="text1" w:themeTint="80" w:val="7F7F7F"/>
            <w:spacing w:val="60"/>
            <w:sz w:val="22"/>
            <w:szCs w:val="22"/>
          </w:rPr>
          <w:tab/>
          <w:tab/>
        </w:r>
        <w:r>
          <w:rPr>
            <w:rFonts w:cs="Arial" w:ascii="Arial" w:hAnsi="Arial"/>
            <w:color w:themeColor="text1" w:themeTint="a6" w:val="595959"/>
            <w:spacing w:val="60"/>
            <w:sz w:val="18"/>
            <w:szCs w:val="18"/>
          </w:rPr>
          <w:t>Página</w:t>
        </w:r>
        <w:r>
          <w:rPr>
            <w:rFonts w:cs="Arial" w:ascii="Arial" w:hAnsi="Arial"/>
            <w:color w:themeColor="text1" w:themeTint="a6" w:val="595959"/>
            <w:sz w:val="18"/>
            <w:szCs w:val="18"/>
          </w:rPr>
          <w:t xml:space="preserve">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PAGE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25</w:t>
        </w:r>
        <w:r>
          <w:rPr>
            <w:sz w:val="18"/>
            <w:szCs w:val="18"/>
            <w:rFonts w:cs="Arial" w:ascii="Arial" w:hAnsi="Arial"/>
            <w:color w:themeColor="text1" w:themeTint="a6" w:val="595959"/>
          </w:rPr>
          <w:fldChar w:fldCharType="end"/>
        </w:r>
        <w:r>
          <w:rPr>
            <w:rFonts w:cs="Arial" w:ascii="Arial" w:hAnsi="Arial"/>
            <w:color w:themeColor="text1" w:themeTint="a6" w:val="595959"/>
            <w:sz w:val="18"/>
            <w:szCs w:val="18"/>
          </w:rPr>
          <w:t xml:space="preserve"> |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NUMPAGES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26</w:t>
        </w:r>
        <w:r>
          <w:rPr>
            <w:sz w:val="18"/>
            <w:szCs w:val="18"/>
            <w:rFonts w:cs="Arial" w:ascii="Arial" w:hAnsi="Arial"/>
            <w:color w:themeColor="text1" w:themeTint="a6" w:val="595959"/>
          </w:rPr>
          <w:fldChar w:fldCharType="end"/>
        </w:r>
      </w:p>
      <w:p>
        <w:pPr>
          <w:pStyle w:val="Normal"/>
          <w:rPr>
            <w:rFonts w:ascii="Arial" w:hAnsi="Arial" w:cs="Arial"/>
            <w:sz w:val="14"/>
            <w:szCs w:val="14"/>
          </w:rPr>
        </w:pPr>
        <w:r>
          <w:rPr>
            <w:rFonts w:cs="Arial" w:ascii="Arial" w:hAnsi="Arial"/>
            <w:sz w:val="14"/>
            <w:szCs w:val="14"/>
          </w:rPr>
          <w:t>Câmara Nacional de Modelos de Licitações e Contratos da Consultoria-Geral da União</w:t>
        </w:r>
      </w:p>
      <w:p>
        <w:pPr>
          <w:pStyle w:val="Normal"/>
          <w:rPr>
            <w:rFonts w:ascii="Arial" w:hAnsi="Arial" w:cs="Arial"/>
            <w:color w:themeColor="text2" w:themeShade="80" w:val="0F243E"/>
            <w:sz w:val="14"/>
            <w:szCs w:val="14"/>
          </w:rPr>
        </w:pPr>
        <w:r>
          <w:rPr>
            <w:rFonts w:cs="Arial" w:ascii="Arial" w:hAnsi="Arial"/>
            <w:sz w:val="14"/>
            <w:szCs w:val="14"/>
          </w:rPr>
          <w:t>Modelo de Termo de Referência para Obras e Serviços, exceto TIC – Lei nº 14.133, de 2021</w:t>
        </w:r>
      </w:p>
      <w:p>
        <w:pPr>
          <w:pStyle w:val="Normal"/>
          <w:rPr>
            <w:rFonts w:ascii="Arial" w:hAnsi="Arial" w:cs="Arial"/>
            <w:sz w:val="14"/>
            <w:szCs w:val="14"/>
          </w:rPr>
        </w:pPr>
        <w:r>
          <w:rPr>
            <w:rFonts w:cs="Arial" w:ascii="Arial" w:hAnsi="Arial"/>
            <w:sz w:val="14"/>
            <w:szCs w:val="14"/>
          </w:rPr>
          <w:t>Aprovado pela Secretaria de Gestão e Inovação</w:t>
        </w:r>
      </w:p>
      <w:p>
        <w:pPr>
          <w:pStyle w:val="Normal"/>
          <w:rPr>
            <w:rFonts w:ascii="Arial" w:hAnsi="Arial" w:cs="Arial"/>
            <w:sz w:val="14"/>
            <w:szCs w:val="14"/>
          </w:rPr>
        </w:pPr>
        <w:r>
          <w:rPr>
            <w:rFonts w:cs="Arial" w:ascii="Arial" w:hAnsi="Arial"/>
            <w:sz w:val="14"/>
            <w:szCs w:val="14"/>
          </w:rPr>
          <w:t>Identidade visual pela Secretaria de Gestão e Inovação</w:t>
        </w:r>
      </w:p>
      <w:p>
        <w:pPr>
          <w:pStyle w:val="Normal"/>
          <w:rPr>
            <w:rFonts w:ascii="Arial" w:hAnsi="Arial" w:cs="Arial"/>
            <w:sz w:val="14"/>
            <w:szCs w:val="14"/>
          </w:rPr>
        </w:pPr>
        <w:r>
          <w:rPr>
            <w:rFonts w:cs="Arial" w:ascii="Arial" w:hAnsi="Arial"/>
            <w:sz w:val="14"/>
            <w:szCs w:val="14"/>
          </w:rPr>
          <w:t>Atualização: NOV</w:t>
        </w:r>
        <w:r>
          <w:rPr>
            <w:rFonts w:ascii="Arial" w:hAnsi="Arial"/>
            <w:sz w:val="14"/>
          </w:rPr>
          <w:t>/2024</w:t>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Gallery w:val="Page Numbers (Bottom of Page)"/>
        <w:docPartUnique w:val="true"/>
      </w:docPartObj>
      <w:id w:val="-385111139"/>
    </w:sdtPr>
    <w:sdtContent>
      <w:p>
        <w:pPr>
          <w:pStyle w:val="Normal"/>
          <w:rPr>
            <w:color w:themeColor="text2" w:themeTint="99" w:val="548DD4"/>
            <w:spacing w:val="60"/>
            <w:sz w:val="16"/>
            <w:szCs w:val="16"/>
          </w:rPr>
        </w:pPr>
        <w:r>
          <w:rPr>
            <w:color w:themeColor="text2" w:themeTint="99" w:val="548DD4"/>
            <w:spacing w:val="60"/>
            <w:sz w:val="22"/>
            <w:szCs w:val="22"/>
          </w:rPr>
          <w:tab/>
          <w:tab/>
        </w:r>
      </w:p>
      <w:p>
        <w:pPr>
          <w:pStyle w:val="Normal"/>
          <w:rPr>
            <w:rFonts w:ascii="Arial" w:hAnsi="Arial" w:cs="Arial"/>
            <w:color w:themeColor="text1" w:themeTint="80" w:val="7F7F7F"/>
            <w:sz w:val="18"/>
            <w:szCs w:val="18"/>
          </w:rPr>
        </w:pPr>
        <w:r>
          <w:rPr>
            <w:color w:themeColor="text1" w:themeTint="80" w:val="7F7F7F"/>
            <w:spacing w:val="60"/>
            <w:sz w:val="22"/>
            <w:szCs w:val="22"/>
          </w:rPr>
          <w:tab/>
          <w:tab/>
        </w:r>
        <w:r>
          <w:rPr>
            <w:rFonts w:cs="Arial" w:ascii="Arial" w:hAnsi="Arial"/>
            <w:color w:themeColor="text1" w:themeTint="a6" w:val="595959"/>
            <w:spacing w:val="60"/>
            <w:sz w:val="18"/>
            <w:szCs w:val="18"/>
          </w:rPr>
          <w:t>Página</w:t>
        </w:r>
        <w:r>
          <w:rPr>
            <w:rFonts w:cs="Arial" w:ascii="Arial" w:hAnsi="Arial"/>
            <w:color w:themeColor="text1" w:themeTint="a6" w:val="595959"/>
            <w:sz w:val="18"/>
            <w:szCs w:val="18"/>
          </w:rPr>
          <w:t xml:space="preserve">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PAGE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25</w:t>
        </w:r>
        <w:r>
          <w:rPr>
            <w:sz w:val="18"/>
            <w:szCs w:val="18"/>
            <w:rFonts w:cs="Arial" w:ascii="Arial" w:hAnsi="Arial"/>
            <w:color w:themeColor="text1" w:themeTint="a6" w:val="595959"/>
          </w:rPr>
          <w:fldChar w:fldCharType="end"/>
        </w:r>
        <w:r>
          <w:rPr>
            <w:rFonts w:cs="Arial" w:ascii="Arial" w:hAnsi="Arial"/>
            <w:color w:themeColor="text1" w:themeTint="a6" w:val="595959"/>
            <w:sz w:val="18"/>
            <w:szCs w:val="18"/>
          </w:rPr>
          <w:t xml:space="preserve"> |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NUMPAGES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26</w:t>
        </w:r>
        <w:r>
          <w:rPr>
            <w:sz w:val="18"/>
            <w:szCs w:val="18"/>
            <w:rFonts w:cs="Arial" w:ascii="Arial" w:hAnsi="Arial"/>
            <w:color w:themeColor="text1" w:themeTint="a6" w:val="595959"/>
          </w:rPr>
          <w:fldChar w:fldCharType="end"/>
        </w:r>
      </w:p>
      <w:p>
        <w:pPr>
          <w:pStyle w:val="Normal"/>
          <w:rPr>
            <w:rFonts w:ascii="Arial" w:hAnsi="Arial" w:cs="Arial"/>
            <w:sz w:val="14"/>
            <w:szCs w:val="14"/>
          </w:rPr>
        </w:pPr>
        <w:r>
          <w:rPr>
            <w:rFonts w:cs="Arial" w:ascii="Arial" w:hAnsi="Arial"/>
            <w:sz w:val="14"/>
            <w:szCs w:val="14"/>
          </w:rPr>
          <w:t>Câmara Nacional de Modelos de Licitações e Contratos da Consultoria-Geral da União</w:t>
        </w:r>
      </w:p>
      <w:p>
        <w:pPr>
          <w:pStyle w:val="Normal"/>
          <w:rPr>
            <w:rFonts w:ascii="Arial" w:hAnsi="Arial" w:cs="Arial"/>
            <w:color w:themeColor="text2" w:themeShade="80" w:val="0F243E"/>
            <w:sz w:val="14"/>
            <w:szCs w:val="14"/>
          </w:rPr>
        </w:pPr>
        <w:r>
          <w:rPr>
            <w:rFonts w:cs="Arial" w:ascii="Arial" w:hAnsi="Arial"/>
            <w:sz w:val="14"/>
            <w:szCs w:val="14"/>
          </w:rPr>
          <w:t>Modelo de Termo de Referência para Obras e Serviços, exceto TIC – Lei nº 14.133, de 2021</w:t>
        </w:r>
      </w:p>
      <w:p>
        <w:pPr>
          <w:pStyle w:val="Normal"/>
          <w:rPr>
            <w:rFonts w:ascii="Arial" w:hAnsi="Arial" w:cs="Arial"/>
            <w:sz w:val="14"/>
            <w:szCs w:val="14"/>
          </w:rPr>
        </w:pPr>
        <w:r>
          <w:rPr>
            <w:rFonts w:cs="Arial" w:ascii="Arial" w:hAnsi="Arial"/>
            <w:sz w:val="14"/>
            <w:szCs w:val="14"/>
          </w:rPr>
          <w:t>Aprovado pela Secretaria de Gestão e Inovação</w:t>
        </w:r>
      </w:p>
      <w:p>
        <w:pPr>
          <w:pStyle w:val="Normal"/>
          <w:rPr>
            <w:rFonts w:ascii="Arial" w:hAnsi="Arial" w:cs="Arial"/>
            <w:sz w:val="14"/>
            <w:szCs w:val="14"/>
          </w:rPr>
        </w:pPr>
        <w:r>
          <w:rPr>
            <w:rFonts w:cs="Arial" w:ascii="Arial" w:hAnsi="Arial"/>
            <w:sz w:val="14"/>
            <w:szCs w:val="14"/>
          </w:rPr>
          <w:t>Identidade visual pela Secretaria de Gestão e Inovação</w:t>
        </w:r>
      </w:p>
      <w:p>
        <w:pPr>
          <w:pStyle w:val="Normal"/>
          <w:rPr>
            <w:rFonts w:ascii="Arial" w:hAnsi="Arial" w:cs="Arial"/>
            <w:sz w:val="14"/>
            <w:szCs w:val="14"/>
          </w:rPr>
        </w:pPr>
        <w:r>
          <w:rPr>
            <w:rFonts w:cs="Arial" w:ascii="Arial" w:hAnsi="Arial"/>
            <w:sz w:val="14"/>
            <w:szCs w:val="14"/>
          </w:rPr>
          <w:t>Atualização: NOV</w:t>
        </w:r>
        <w:r>
          <w:rPr>
            <w:rFonts w:ascii="Arial" w:hAnsi="Arial"/>
            <w:sz w:val="14"/>
          </w:rPr>
          <w:t>/2024</w:t>
        </w:r>
      </w:p>
    </w:sdtContent>
  </w:sdt>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lowerLetter"/>
      <w:lvlText w:val="%1)"/>
      <w:lvlJc w:val="left"/>
      <w:pPr>
        <w:tabs>
          <w:tab w:val="num" w:pos="0"/>
        </w:tabs>
        <w:ind w:left="2130" w:hanging="360"/>
      </w:pPr>
      <w:rPr/>
    </w:lvl>
    <w:lvl w:ilvl="1">
      <w:start w:val="1"/>
      <w:numFmt w:val="lowerLetter"/>
      <w:lvlText w:val="%2."/>
      <w:lvlJc w:val="left"/>
      <w:pPr>
        <w:tabs>
          <w:tab w:val="num" w:pos="0"/>
        </w:tabs>
        <w:ind w:left="2850" w:hanging="360"/>
      </w:pPr>
      <w:rPr/>
    </w:lvl>
    <w:lvl w:ilvl="2">
      <w:start w:val="1"/>
      <w:numFmt w:val="lowerRoman"/>
      <w:lvlText w:val="%3."/>
      <w:lvlJc w:val="right"/>
      <w:pPr>
        <w:tabs>
          <w:tab w:val="num" w:pos="0"/>
        </w:tabs>
        <w:ind w:left="3570" w:hanging="180"/>
      </w:pPr>
      <w:rPr/>
    </w:lvl>
    <w:lvl w:ilvl="3">
      <w:start w:val="1"/>
      <w:numFmt w:val="decimal"/>
      <w:lvlText w:val="%4."/>
      <w:lvlJc w:val="left"/>
      <w:pPr>
        <w:tabs>
          <w:tab w:val="num" w:pos="0"/>
        </w:tabs>
        <w:ind w:left="4290" w:hanging="360"/>
      </w:pPr>
      <w:rPr/>
    </w:lvl>
    <w:lvl w:ilvl="4">
      <w:start w:val="1"/>
      <w:numFmt w:val="lowerLetter"/>
      <w:lvlText w:val="%5."/>
      <w:lvlJc w:val="left"/>
      <w:pPr>
        <w:tabs>
          <w:tab w:val="num" w:pos="0"/>
        </w:tabs>
        <w:ind w:left="5010" w:hanging="360"/>
      </w:pPr>
      <w:rPr/>
    </w:lvl>
    <w:lvl w:ilvl="5">
      <w:start w:val="1"/>
      <w:numFmt w:val="lowerRoman"/>
      <w:lvlText w:val="%6."/>
      <w:lvlJc w:val="right"/>
      <w:pPr>
        <w:tabs>
          <w:tab w:val="num" w:pos="0"/>
        </w:tabs>
        <w:ind w:left="5730" w:hanging="180"/>
      </w:pPr>
      <w:rPr/>
    </w:lvl>
    <w:lvl w:ilvl="6">
      <w:start w:val="1"/>
      <w:numFmt w:val="decimal"/>
      <w:lvlText w:val="%7."/>
      <w:lvlJc w:val="left"/>
      <w:pPr>
        <w:tabs>
          <w:tab w:val="num" w:pos="0"/>
        </w:tabs>
        <w:ind w:left="6450" w:hanging="360"/>
      </w:pPr>
      <w:rPr/>
    </w:lvl>
    <w:lvl w:ilvl="7">
      <w:start w:val="1"/>
      <w:numFmt w:val="lowerLetter"/>
      <w:lvlText w:val="%8."/>
      <w:lvlJc w:val="left"/>
      <w:pPr>
        <w:tabs>
          <w:tab w:val="num" w:pos="0"/>
        </w:tabs>
        <w:ind w:left="7170" w:hanging="360"/>
      </w:pPr>
      <w:rPr/>
    </w:lvl>
    <w:lvl w:ilvl="8">
      <w:start w:val="1"/>
      <w:numFmt w:val="lowerRoman"/>
      <w:lvlText w:val="%9."/>
      <w:lvlJc w:val="right"/>
      <w:pPr>
        <w:tabs>
          <w:tab w:val="num" w:pos="0"/>
        </w:tabs>
        <w:ind w:left="7890" w:hanging="180"/>
      </w:pPr>
      <w:rPr/>
    </w:lvl>
  </w:abstractNum>
  <w:abstractNum w:abstractNumId="3">
    <w:lvl w:ilvl="0">
      <w:start w:val="1"/>
      <w:numFmt w:val="upperRoman"/>
      <w:lvlText w:val="%1)"/>
      <w:lvlJc w:val="left"/>
      <w:pPr>
        <w:tabs>
          <w:tab w:val="num" w:pos="0"/>
        </w:tabs>
        <w:ind w:left="2136" w:hanging="720"/>
      </w:pPr>
      <w:rPr/>
    </w:lvl>
    <w:lvl w:ilvl="1">
      <w:start w:val="1"/>
      <w:numFmt w:val="lowerLetter"/>
      <w:lvlText w:val="%2."/>
      <w:lvlJc w:val="left"/>
      <w:pPr>
        <w:tabs>
          <w:tab w:val="num" w:pos="0"/>
        </w:tabs>
        <w:ind w:left="2496" w:hanging="360"/>
      </w:pPr>
      <w:rPr/>
    </w:lvl>
    <w:lvl w:ilvl="2">
      <w:start w:val="1"/>
      <w:numFmt w:val="lowerRoman"/>
      <w:lvlText w:val="%3."/>
      <w:lvlJc w:val="right"/>
      <w:pPr>
        <w:tabs>
          <w:tab w:val="num" w:pos="0"/>
        </w:tabs>
        <w:ind w:left="3216" w:hanging="180"/>
      </w:pPr>
      <w:rPr/>
    </w:lvl>
    <w:lvl w:ilvl="3">
      <w:start w:val="1"/>
      <w:numFmt w:val="decimal"/>
      <w:lvlText w:val="%4."/>
      <w:lvlJc w:val="left"/>
      <w:pPr>
        <w:tabs>
          <w:tab w:val="num" w:pos="0"/>
        </w:tabs>
        <w:ind w:left="3936" w:hanging="360"/>
      </w:pPr>
      <w:rPr/>
    </w:lvl>
    <w:lvl w:ilvl="4">
      <w:start w:val="1"/>
      <w:numFmt w:val="lowerLetter"/>
      <w:lvlText w:val="%5."/>
      <w:lvlJc w:val="left"/>
      <w:pPr>
        <w:tabs>
          <w:tab w:val="num" w:pos="0"/>
        </w:tabs>
        <w:ind w:left="4656" w:hanging="360"/>
      </w:pPr>
      <w:rPr/>
    </w:lvl>
    <w:lvl w:ilvl="5">
      <w:start w:val="1"/>
      <w:numFmt w:val="lowerRoman"/>
      <w:lvlText w:val="%6."/>
      <w:lvlJc w:val="right"/>
      <w:pPr>
        <w:tabs>
          <w:tab w:val="num" w:pos="0"/>
        </w:tabs>
        <w:ind w:left="5376" w:hanging="180"/>
      </w:pPr>
      <w:rPr/>
    </w:lvl>
    <w:lvl w:ilvl="6">
      <w:start w:val="1"/>
      <w:numFmt w:val="decimal"/>
      <w:lvlText w:val="%7."/>
      <w:lvlJc w:val="left"/>
      <w:pPr>
        <w:tabs>
          <w:tab w:val="num" w:pos="0"/>
        </w:tabs>
        <w:ind w:left="6096" w:hanging="360"/>
      </w:pPr>
      <w:rPr/>
    </w:lvl>
    <w:lvl w:ilvl="7">
      <w:start w:val="1"/>
      <w:numFmt w:val="lowerLetter"/>
      <w:lvlText w:val="%8."/>
      <w:lvlJc w:val="left"/>
      <w:pPr>
        <w:tabs>
          <w:tab w:val="num" w:pos="0"/>
        </w:tabs>
        <w:ind w:left="6816" w:hanging="360"/>
      </w:pPr>
      <w:rPr/>
    </w:lvl>
    <w:lvl w:ilvl="8">
      <w:start w:val="1"/>
      <w:numFmt w:val="lowerRoman"/>
      <w:lvlText w:val="%9."/>
      <w:lvlJc w:val="right"/>
      <w:pPr>
        <w:tabs>
          <w:tab w:val="num" w:pos="0"/>
        </w:tabs>
        <w:ind w:left="7536" w:hanging="180"/>
      </w:pPr>
      <w:rPr/>
    </w:lvl>
  </w:abstractNum>
  <w:abstractNum w:abstractNumId="4">
    <w:lvl w:ilvl="0">
      <w:start w:val="1"/>
      <w:numFmt w:val="upperRoman"/>
      <w:lvlText w:val="%1)"/>
      <w:lvlJc w:val="left"/>
      <w:pPr>
        <w:tabs>
          <w:tab w:val="num" w:pos="0"/>
        </w:tabs>
        <w:ind w:left="2136" w:hanging="720"/>
      </w:pPr>
      <w:rPr/>
    </w:lvl>
    <w:lvl w:ilvl="1">
      <w:start w:val="1"/>
      <w:numFmt w:val="lowerLetter"/>
      <w:lvlText w:val="%2."/>
      <w:lvlJc w:val="left"/>
      <w:pPr>
        <w:tabs>
          <w:tab w:val="num" w:pos="0"/>
        </w:tabs>
        <w:ind w:left="2496" w:hanging="360"/>
      </w:pPr>
      <w:rPr/>
    </w:lvl>
    <w:lvl w:ilvl="2">
      <w:start w:val="1"/>
      <w:numFmt w:val="lowerRoman"/>
      <w:lvlText w:val="%3."/>
      <w:lvlJc w:val="right"/>
      <w:pPr>
        <w:tabs>
          <w:tab w:val="num" w:pos="0"/>
        </w:tabs>
        <w:ind w:left="3216" w:hanging="180"/>
      </w:pPr>
      <w:rPr/>
    </w:lvl>
    <w:lvl w:ilvl="3">
      <w:start w:val="1"/>
      <w:numFmt w:val="decimal"/>
      <w:lvlText w:val="%4."/>
      <w:lvlJc w:val="left"/>
      <w:pPr>
        <w:tabs>
          <w:tab w:val="num" w:pos="0"/>
        </w:tabs>
        <w:ind w:left="3936" w:hanging="360"/>
      </w:pPr>
      <w:rPr/>
    </w:lvl>
    <w:lvl w:ilvl="4">
      <w:start w:val="1"/>
      <w:numFmt w:val="lowerLetter"/>
      <w:lvlText w:val="%5."/>
      <w:lvlJc w:val="left"/>
      <w:pPr>
        <w:tabs>
          <w:tab w:val="num" w:pos="0"/>
        </w:tabs>
        <w:ind w:left="4656" w:hanging="360"/>
      </w:pPr>
      <w:rPr/>
    </w:lvl>
    <w:lvl w:ilvl="5">
      <w:start w:val="1"/>
      <w:numFmt w:val="lowerRoman"/>
      <w:lvlText w:val="%6."/>
      <w:lvlJc w:val="right"/>
      <w:pPr>
        <w:tabs>
          <w:tab w:val="num" w:pos="0"/>
        </w:tabs>
        <w:ind w:left="5376" w:hanging="180"/>
      </w:pPr>
      <w:rPr/>
    </w:lvl>
    <w:lvl w:ilvl="6">
      <w:start w:val="1"/>
      <w:numFmt w:val="decimal"/>
      <w:lvlText w:val="%7."/>
      <w:lvlJc w:val="left"/>
      <w:pPr>
        <w:tabs>
          <w:tab w:val="num" w:pos="0"/>
        </w:tabs>
        <w:ind w:left="6096" w:hanging="360"/>
      </w:pPr>
      <w:rPr/>
    </w:lvl>
    <w:lvl w:ilvl="7">
      <w:start w:val="1"/>
      <w:numFmt w:val="lowerLetter"/>
      <w:lvlText w:val="%8."/>
      <w:lvlJc w:val="left"/>
      <w:pPr>
        <w:tabs>
          <w:tab w:val="num" w:pos="0"/>
        </w:tabs>
        <w:ind w:left="6816" w:hanging="360"/>
      </w:pPr>
      <w:rPr/>
    </w:lvl>
    <w:lvl w:ilvl="8">
      <w:start w:val="1"/>
      <w:numFmt w:val="lowerRoman"/>
      <w:lvlText w:val="%9."/>
      <w:lvlJc w:val="right"/>
      <w:pPr>
        <w:tabs>
          <w:tab w:val="num" w:pos="0"/>
        </w:tabs>
        <w:ind w:left="7536" w:hanging="180"/>
      </w:pPr>
      <w:r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363" w:hanging="432"/>
      </w:pPr>
      <w:rPr>
        <w:dstrike w:val="false"/>
        <w:strike w:val="false"/>
        <w:sz w:val="20"/>
        <w:i w:val="false"/>
        <w:u w:val="none"/>
        <w:b w:val="false"/>
        <w:szCs w:val="20"/>
        <w:color w:val="auto"/>
      </w:rPr>
    </w:lvl>
    <w:lvl w:ilvl="2">
      <w:start w:val="1"/>
      <w:numFmt w:val="decimal"/>
      <w:lvlText w:val="%1.%2.%3"/>
      <w:lvlJc w:val="left"/>
      <w:pPr>
        <w:tabs>
          <w:tab w:val="num" w:pos="0"/>
        </w:tabs>
        <w:ind w:left="6175"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
  </w:num>
  <w:num w:numId="123">
    <w:abstractNumId w:val="1"/>
  </w:num>
  <w:num w:numId="124">
    <w:abstractNumId w:val="1"/>
  </w:num>
  <w:num w:numId="125">
    <w:abstractNumId w:val="1"/>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 w:numId="195">
    <w:abstractNumId w:val="1"/>
  </w:num>
  <w:num w:numId="196">
    <w:abstractNumId w:val="1"/>
  </w:num>
  <w:num w:numId="197">
    <w:abstractNumId w:val="1"/>
  </w:num>
  <w:num w:numId="198">
    <w:abstractNumId w:val="1"/>
  </w:num>
  <w:num w:numId="199">
    <w:abstractNumId w:val="1"/>
  </w:num>
  <w:num w:numId="200">
    <w:abstractNumId w:val="1"/>
  </w:num>
  <w:num w:numId="201">
    <w:abstractNumId w:val="1"/>
  </w:num>
  <w:num w:numId="202">
    <w:abstractNumId w:val="1"/>
  </w:num>
  <w:num w:numId="203">
    <w:abstractNumId w:val="1"/>
  </w:num>
  <w:num w:numId="204">
    <w:abstractNumId w:val="1"/>
  </w:num>
  <w:num w:numId="205">
    <w:abstractNumId w:val="1"/>
  </w:num>
  <w:num w:numId="206">
    <w:abstractNumId w:val="1"/>
  </w:num>
  <w:num w:numId="207">
    <w:abstractNumId w:val="1"/>
  </w:num>
  <w:num w:numId="208">
    <w:abstractNumId w:val="1"/>
  </w:num>
  <w:num w:numId="209">
    <w:abstractNumId w:val="1"/>
  </w:num>
  <w:num w:numId="210">
    <w:abstractNumId w:val="1"/>
  </w:num>
  <w:num w:numId="211">
    <w:abstractNumId w:val="1"/>
  </w:num>
  <w:num w:numId="212">
    <w:abstractNumId w:val="1"/>
  </w:num>
  <w:num w:numId="213">
    <w:abstractNumId w:val="1"/>
  </w:num>
  <w:num w:numId="214">
    <w:abstractNumId w:val="1"/>
  </w:num>
  <w:num w:numId="215">
    <w:abstractNumId w:val="1"/>
  </w:num>
  <w:num w:numId="216">
    <w:abstractNumId w:val="1"/>
  </w:num>
  <w:num w:numId="217">
    <w:abstractNumId w:val="1"/>
  </w:num>
  <w:num w:numId="218">
    <w:abstractNumId w:val="1"/>
  </w:num>
  <w:num w:numId="219">
    <w:abstractNumId w:val="1"/>
  </w:num>
  <w:num w:numId="220">
    <w:abstractNumId w:val="1"/>
  </w:num>
  <w:num w:numId="221">
    <w:abstractNumId w:val="1"/>
  </w:num>
  <w:num w:numId="222">
    <w:abstractNumId w:val="1"/>
  </w:num>
  <w:num w:numId="223">
    <w:abstractNumId w:val="1"/>
  </w:num>
  <w:num w:numId="224">
    <w:abstractNumId w:val="1"/>
  </w:num>
  <w:num w:numId="225">
    <w:abstractNumId w:val="1"/>
  </w:num>
  <w:num w:numId="226">
    <w:abstractNumId w:val="1"/>
  </w:num>
  <w:num w:numId="227">
    <w:abstractNumId w:val="1"/>
  </w:num>
  <w:num w:numId="228">
    <w:abstractNumId w:val="1"/>
  </w:num>
  <w:num w:numId="229">
    <w:abstractNumId w:val="1"/>
  </w:num>
  <w:num w:numId="230">
    <w:abstractNumId w:val="1"/>
  </w:num>
  <w:num w:numId="231">
    <w:abstractNumId w:val="1"/>
  </w:num>
  <w:num w:numId="232">
    <w:abstractNumId w:val="1"/>
  </w:num>
  <w:num w:numId="233">
    <w:abstractNumId w:val="1"/>
  </w:num>
  <w:num w:numId="234">
    <w:abstractNumId w:val="1"/>
  </w:num>
  <w:num w:numId="235">
    <w:abstractNumId w:val="1"/>
  </w:num>
</w:numbering>
</file>

<file path=word/settings.xml><?xml version="1.0" encoding="utf-8"?>
<w:settings xmlns:w="http://schemas.openxmlformats.org/wordprocessingml/2006/main">
  <w:zoom w:percent="100"/>
  <w:mirrorMargins/>
  <w:defaultTabStop w:val="720"/>
  <w:autoHyphenation w:val="true"/>
  <w:hyphenationZone w:val="0"/>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lsdException w:name="Quote" w:uiPriority="29"/>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1a2185"/>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Heading1">
    <w:name w:val="heading 1"/>
    <w:basedOn w:val="Normal"/>
    <w:next w:val="Normal"/>
    <w:link w:val="Ttulo1Char"/>
    <w:uiPriority w:val="9"/>
    <w:qFormat/>
    <w:rsid w:val="00501cb5"/>
    <w:pPr>
      <w:keepNext w:val="true"/>
      <w:keepLines/>
      <w:numPr>
        <w:ilvl w:val="0"/>
        <w:numId w:val="5"/>
      </w:numPr>
      <w:spacing w:before="480" w:after="0"/>
      <w:outlineLvl w:val="0"/>
    </w:pPr>
    <w:rPr>
      <w:rFonts w:ascii="Arial" w:hAnsi="Arial" w:eastAsia="" w:cs="" w:cstheme="majorBidi" w:eastAsiaTheme="majorEastAsia"/>
      <w:b/>
      <w:bCs/>
      <w:sz w:val="20"/>
      <w:szCs w:val="28"/>
    </w:rPr>
  </w:style>
  <w:style w:type="paragraph" w:styleId="Heading2">
    <w:name w:val="heading 2"/>
    <w:basedOn w:val="Normal"/>
    <w:next w:val="Normal"/>
    <w:link w:val="Ttulo2Char"/>
    <w:qFormat/>
    <w:rsid w:val="00e14b42"/>
    <w:pPr>
      <w:keepNext w:val="true"/>
      <w:numPr>
        <w:ilvl w:val="1"/>
        <w:numId w:val="6"/>
      </w:numPr>
      <w:spacing w:lineRule="auto" w:line="276" w:before="120" w:after="120"/>
      <w:ind w:hanging="0" w:left="0"/>
      <w:jc w:val="both"/>
      <w:outlineLvl w:val="1"/>
    </w:pPr>
    <w:rPr>
      <w:rFonts w:ascii="Arial" w:hAnsi="Arial" w:cs="Times New Roman"/>
      <w:sz w:val="20"/>
      <w:szCs w:val="20"/>
    </w:rPr>
  </w:style>
  <w:style w:type="paragraph" w:styleId="Heading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themeColor="accent1" w:themeShade="7f" w:val="243F60"/>
      <w:lang w:eastAsia="en-US"/>
    </w:rPr>
  </w:style>
  <w:style w:type="paragraph" w:styleId="Heading4">
    <w:name w:val="heading 4"/>
    <w:basedOn w:val="Normal"/>
    <w:next w:val="Normal"/>
    <w:link w:val="Ttulo4Char"/>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themeColor="accent1" w:themeShade="bf" w:val="365F91"/>
    </w:rPr>
  </w:style>
  <w:style w:type="paragraph" w:styleId="Heading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themeColor="accent1" w:themeShade="7f" w:val="243F60"/>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uiPriority w:val="99"/>
    <w:qFormat/>
    <w:rsid w:val="003a73c1"/>
    <w:rPr>
      <w:rFonts w:ascii="Tahoma" w:hAnsi="Tahoma" w:cs="Tahoma"/>
      <w:sz w:val="16"/>
      <w:szCs w:val="16"/>
    </w:rPr>
  </w:style>
  <w:style w:type="character" w:styleId="Ttulo2Char" w:customStyle="1">
    <w:name w:val="Título 2 Char"/>
    <w:qFormat/>
    <w:rsid w:val="00e14b42"/>
    <w:rPr>
      <w:rFonts w:ascii="Arial" w:hAnsi="Arial"/>
      <w:lang w:eastAsia="pt-BR"/>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InternetLink">
    <w:name w:val="Internet Link"/>
    <w:qFormat/>
    <w:rsid w:val="00bf1a7f"/>
    <w:rPr>
      <w:color w:val="000080"/>
      <w:u w:val="single"/>
    </w:rPr>
  </w:style>
  <w:style w:type="character" w:styleId="CitaoChar" w:customStyle="1">
    <w:name w:val="Citação Char"/>
    <w:uiPriority w:val="29"/>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Comment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 w:cs="" w:asciiTheme="majorHAnsi" w:cstheme="majorBidi" w:eastAsiaTheme="majorEastAsia" w:hAnsiTheme="majorHAnsi"/>
      <w:i/>
      <w:iCs/>
      <w:color w:themeColor="accent1" w:themeShade="bf" w:val="365F91"/>
      <w:sz w:val="24"/>
      <w:szCs w:val="24"/>
      <w:lang w:eastAsia="pt-BR"/>
    </w:rPr>
  </w:style>
  <w:style w:type="character" w:styleId="TtuloChar" w:customStyle="1">
    <w:name w:val="Título Char"/>
    <w:basedOn w:val="DefaultParagraphFont"/>
    <w:qFormat/>
    <w:rsid w:val="007f77ad"/>
    <w:rPr>
      <w:rFonts w:ascii="Calibri" w:hAnsi="Calibri" w:eastAsia="" w:cs="" w:asciiTheme="majorHAnsi" w:cstheme="majorBidi" w:eastAsiaTheme="majorEastAsia" w:hAnsiTheme="majorHAnsi"/>
      <w:color w:themeColor="text2" w:themeShade="bf" w:val="17365D"/>
      <w:spacing w:val="5"/>
      <w:kern w:val="2"/>
      <w:sz w:val="52"/>
      <w:szCs w:val="52"/>
      <w:lang w:eastAsia="pt-BR"/>
    </w:rPr>
  </w:style>
  <w:style w:type="character" w:styleId="Nivel01Char" w:customStyle="1">
    <w:name w:val="Nivel 01 Char"/>
    <w:basedOn w:val="TtuloChar"/>
    <w:qFormat/>
    <w:rsid w:val="00df03d9"/>
    <w:rPr>
      <w:rFonts w:ascii="Arial" w:hAnsi="Arial" w:eastAsia="Arial" w:cs="Arial"/>
      <w:b/>
      <w:iCs/>
      <w:color w:themeColor="text2" w:themeShade="bf" w:val="17365D"/>
      <w:spacing w:val="5"/>
      <w:kern w:val="2"/>
      <w:sz w:val="52"/>
      <w:szCs w:val="52"/>
      <w:lang w:eastAsia="pt-BR"/>
    </w:rPr>
  </w:style>
  <w:style w:type="character" w:styleId="Ttulo1Char" w:customStyle="1">
    <w:name w:val="Título 1 Char"/>
    <w:basedOn w:val="DefaultParagraphFont"/>
    <w:uiPriority w:val="9"/>
    <w:qFormat/>
    <w:rsid w:val="00501cb5"/>
    <w:rPr>
      <w:rFonts w:ascii="Arial" w:hAnsi="Arial" w:eastAsia="" w:cs="" w:cstheme="majorBidi" w:eastAsiaTheme="majorEastAsia"/>
      <w:b/>
      <w:bCs/>
      <w:szCs w:val="28"/>
      <w:lang w:eastAsia="pt-BR"/>
    </w:rPr>
  </w:style>
  <w:style w:type="character" w:styleId="Nivel01TituloChar" w:customStyle="1">
    <w:name w:val="Nivel_01_Titulo Char"/>
    <w:basedOn w:val="Nivel01Char"/>
    <w:qFormat/>
    <w:rsid w:val="00e967ea"/>
    <w:rPr>
      <w:rFonts w:ascii="Arial" w:hAnsi="Arial" w:eastAsia="" w:cs="" w:cstheme="majorBidi" w:eastAsiaTheme="majorEastAsia"/>
      <w:b/>
      <w:bCs w:val="false"/>
      <w:iCs/>
      <w:vanish w:val="false"/>
      <w:color w:themeColor="text1" w:val="000000"/>
      <w:spacing w:val="5"/>
      <w:kern w:val="2"/>
      <w:sz w:val="52"/>
      <w:szCs w:val="52"/>
      <w:lang w:eastAsia="pt-BR"/>
    </w:rPr>
  </w:style>
  <w:style w:type="character" w:styleId="QuoteChar" w:customStyle="1">
    <w:name w:val="Quote Char"/>
    <w:basedOn w:val="DefaultParagraphFont"/>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uiPriority w:val="99"/>
    <w:qFormat/>
    <w:rsid w:val="00405763"/>
    <w:rPr>
      <w:rFonts w:eastAsia="Times New Roman"/>
      <w:sz w:val="24"/>
      <w:szCs w:val="24"/>
      <w:lang w:eastAsia="pt-BR"/>
    </w:rPr>
  </w:style>
  <w:style w:type="character" w:styleId="Nivel1Char" w:customStyle="1">
    <w:name w:val="Nivel1 Char"/>
    <w:basedOn w:val="Ttulo1Char"/>
    <w:qFormat/>
    <w:rsid w:val="001b6423"/>
    <w:rPr>
      <w:rFonts w:ascii="Arial" w:hAnsi="Arial" w:eastAsia="" w:cs="Arial" w:eastAsiaTheme="majorEastAsia"/>
      <w:b/>
      <w:bCs w:val="false"/>
      <w:color w:val="000000"/>
      <w:szCs w:val="28"/>
      <w:lang w:eastAsia="pt-BR"/>
    </w:rPr>
  </w:style>
  <w:style w:type="character" w:styleId="Nivel4Char" w:customStyle="1">
    <w:name w:val="Nivel 4 Char"/>
    <w:basedOn w:val="DefaultParagraphFont"/>
    <w:qFormat/>
    <w:rsid w:val="00711273"/>
    <w:rPr>
      <w:rFonts w:ascii="Arial" w:hAnsi="Arial" w:cs="Arial"/>
      <w:bCs/>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Emphasis">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FollowedHyperlink">
    <w:name w:val="FollowedHyperlink"/>
    <w:basedOn w:val="DefaultParagraphFont"/>
    <w:uiPriority w:val="99"/>
    <w:semiHidden/>
    <w:unhideWhenUsed/>
    <w:rsid w:val="00d30a43"/>
    <w:rPr>
      <w:color w:themeColor="followedHyperlink" w:val="800080"/>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OpcionalChar" w:customStyle="1">
    <w:name w:val="Nivel 2-Opcional Char"/>
    <w:basedOn w:val="DefaultParagraphFont"/>
    <w:qFormat/>
    <w:locked/>
    <w:rsid w:val="00ee5824"/>
    <w:rPr>
      <w:rFonts w:ascii="Arial" w:hAnsi="Arial" w:eastAsia="Arial" w:cs="Arial"/>
      <w:i/>
      <w:color w:val="FF0000"/>
      <w:shd w:fill="76923C" w:val="clear"/>
      <w:lang w:eastAsia="pt-BR"/>
    </w:rPr>
  </w:style>
  <w:style w:type="character" w:styleId="Nvel2OpcionalChar" w:customStyle="1">
    <w:name w:val="Nível 2 Opcional Char"/>
    <w:basedOn w:val="DefaultParagraphFont"/>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 w:cs="" w:asciiTheme="majorHAnsi" w:cstheme="majorBidi" w:eastAsiaTheme="majorEastAsia" w:hAnsiTheme="majorHAnsi"/>
      <w:color w:themeColor="accent1" w:themeShade="7f" w:val="243F60"/>
      <w:sz w:val="24"/>
      <w:szCs w:val="24"/>
    </w:rPr>
  </w:style>
  <w:style w:type="character" w:styleId="Ttulo6Char" w:customStyle="1">
    <w:name w:val="Título 6 Char"/>
    <w:basedOn w:val="DefaultParagraphFont"/>
    <w:uiPriority w:val="9"/>
    <w:semiHidden/>
    <w:qFormat/>
    <w:rsid w:val="00cb3192"/>
    <w:rPr>
      <w:rFonts w:ascii="Calibri" w:hAnsi="Calibri" w:eastAsia="" w:cs="" w:asciiTheme="majorHAnsi" w:cstheme="majorBidi" w:eastAsiaTheme="majorEastAsia" w:hAnsiTheme="majorHAnsi"/>
      <w:color w:themeColor="accent1" w:themeShade="7f" w:val="243F60"/>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qFormat/>
    <w:rsid w:val="00057363"/>
    <w:rPr>
      <w:rFonts w:ascii="Arial" w:hAnsi="Arial" w:eastAsia="Cambria" w:cs="Arial" w:eastAsiaTheme="minorHAnsi"/>
      <w:b/>
      <w:bCs/>
      <w:i/>
      <w:iCs/>
      <w:color w:val="FF0000"/>
      <w:sz w:val="24"/>
      <w:szCs w:val="24"/>
      <w:lang w:eastAsia="pt-BR"/>
    </w:rPr>
  </w:style>
  <w:style w:type="character" w:styleId="Nvel02Char" w:customStyle="1">
    <w:name w:val="Nível 02 Char"/>
    <w:basedOn w:val="Nivel2-OpcionalChar"/>
    <w:qFormat/>
    <w:rsid w:val="00df03d9"/>
    <w:rPr>
      <w:rFonts w:ascii="Arial" w:hAnsi="Arial" w:eastAsia="Arial" w:cs="Arial"/>
      <w:i w:val="false"/>
      <w:iCs/>
      <w:color w:val="FF0000"/>
      <w:shd w:fill="76923C" w:val="clear"/>
      <w:lang w:eastAsia="pt-BR"/>
    </w:rPr>
  </w:style>
  <w:style w:type="character" w:styleId="Nivel3-erroChar" w:customStyle="1">
    <w:name w:val="Nivel 3-erro Char"/>
    <w:basedOn w:val="DefaultParagraphFont"/>
    <w:qFormat/>
    <w:rsid w:val="00667c40"/>
    <w:rPr>
      <w:rFonts w:ascii="Arial" w:hAnsi="Arial" w:cs="Tahoma"/>
      <w:szCs w:val="24"/>
      <w:lang w:eastAsia="pt-BR"/>
    </w:rPr>
  </w:style>
  <w:style w:type="character" w:styleId="Nvel3-RChar" w:customStyle="1">
    <w:name w:val="Nível 3-R Char"/>
    <w:basedOn w:val="Nivel3-erroChar"/>
    <w:qFormat/>
    <w:rsid w:val="0074191c"/>
    <w:rPr>
      <w:rFonts w:ascii="Arial" w:hAnsi="Arial" w:cs="Arial"/>
      <w:i/>
      <w:iCs/>
      <w:color w:val="FF0000"/>
      <w:szCs w:val="24"/>
      <w:lang w:eastAsia="pt-BR"/>
    </w:rPr>
  </w:style>
  <w:style w:type="character" w:styleId="Nvel4-RChar" w:customStyle="1">
    <w:name w:val="Nível 4-R Char"/>
    <w:basedOn w:val="Nivel4Char"/>
    <w:qFormat/>
    <w:rsid w:val="00d16569"/>
    <w:rPr>
      <w:rFonts w:ascii="Arial" w:hAnsi="Arial" w:cs="Arial"/>
      <w:bCs/>
      <w:i/>
      <w:color w:val="FF0000"/>
      <w:lang w:eastAsia="pt-BR"/>
    </w:rPr>
  </w:style>
  <w:style w:type="character" w:styleId="InternetLink1" w:customStyle="1">
    <w:name w:val="Internet Link1"/>
    <w:basedOn w:val="DefaultParagraphFont"/>
    <w:uiPriority w:val="99"/>
    <w:unhideWhenUsed/>
    <w:qFormat/>
    <w:rsid w:val="00dc41dd"/>
    <w:rPr>
      <w:color w:themeColor="hyperlink" w:val="0000FF"/>
      <w:u w:val="single"/>
    </w:rPr>
  </w:style>
  <w:style w:type="character" w:styleId="Nvel1-SemNumChar" w:customStyle="1">
    <w:name w:val="Nível 1-Sem Num Char"/>
    <w:basedOn w:val="Nivel01Char"/>
    <w:qFormat/>
    <w:rsid w:val="00005224"/>
    <w:rPr>
      <w:rFonts w:ascii="Arial" w:hAnsi="Arial" w:eastAsia="Arial" w:cs="Arial"/>
      <w:b/>
      <w:i/>
      <w:iCs w:val="false"/>
      <w:color w:themeColor="text2" w:themeShade="bf" w:val="FF0000"/>
      <w:spacing w:val="5"/>
      <w:kern w:val="2"/>
      <w:sz w:val="52"/>
      <w:szCs w:val="52"/>
      <w:lang w:eastAsia="pt-BR"/>
    </w:rPr>
  </w:style>
  <w:style w:type="character" w:styleId="PrembuloChar" w:customStyle="1">
    <w:name w:val="Preâmbulo Char"/>
    <w:basedOn w:val="DefaultParagraphFont"/>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8d252d"/>
    <w:rPr>
      <w:color w:val="605E5C"/>
      <w:shd w:fill="E1DFDD" w:val="clear"/>
    </w:rPr>
  </w:style>
  <w:style w:type="character" w:styleId="citao2Char" w:customStyle="1">
    <w:name w:val="citação 2 Char"/>
    <w:basedOn w:val="CitaoChar"/>
    <w:qFormat/>
    <w:rsid w:val="00573b28"/>
    <w:rPr>
      <w:rFonts w:ascii="Arial" w:hAnsi="Arial" w:eastAsia="Calibri" w:cs="Tahoma"/>
      <w:i/>
      <w:iCs/>
      <w:color w:val="000000"/>
      <w:szCs w:val="24"/>
      <w:shd w:fill="FFFFCC" w:val="clear"/>
    </w:rPr>
  </w:style>
  <w:style w:type="character" w:styleId="Nvel1-SemNumeraoChar" w:customStyle="1">
    <w:name w:val="Nível 1-Sem Numeração Char"/>
    <w:basedOn w:val="Nvel1-SemNumChar"/>
    <w:qFormat/>
    <w:rsid w:val="00221cb8"/>
    <w:rPr>
      <w:rFonts w:ascii="Arial" w:hAnsi="Arial" w:eastAsia="Arial" w:cs="Arial"/>
      <w:b/>
      <w:bCs w:val="false"/>
      <w:i w:val="false"/>
      <w:iCs w:val="false"/>
      <w:vanish w:val="false"/>
      <w:color w:themeColor="text2" w:themeShade="bf" w:val="FF0000"/>
      <w:spacing w:val="5"/>
      <w:kern w:val="2"/>
      <w:sz w:val="52"/>
      <w:szCs w:val="52"/>
      <w:lang w:eastAsia="pt-BR"/>
    </w:rPr>
  </w:style>
  <w:style w:type="character" w:styleId="MenoPendente6" w:customStyle="1">
    <w:name w:val="Menção Pendente6"/>
    <w:basedOn w:val="DefaultParagraphFont"/>
    <w:uiPriority w:val="99"/>
    <w:semiHidden/>
    <w:unhideWhenUsed/>
    <w:qFormat/>
    <w:rsid w:val="004b478e"/>
    <w:rPr>
      <w:color w:val="605E5C"/>
      <w:shd w:fill="E1DFDD" w:val="clear"/>
    </w:rPr>
  </w:style>
  <w:style w:type="character" w:styleId="AlteraesChar" w:customStyle="1">
    <w:name w:val="Alterações Char"/>
    <w:basedOn w:val="Nvel02Char"/>
    <w:qFormat/>
    <w:rsid w:val="00af5de1"/>
    <w:rPr>
      <w:rFonts w:ascii="Arial" w:hAnsi="Arial" w:eastAsia="Arial" w:cs="Arial"/>
      <w:i w:val="false"/>
      <w:iCs/>
      <w:color w:val="0000FF"/>
      <w:shd w:fill="76923C" w:val="clear"/>
      <w:lang w:eastAsia="pt-BR"/>
    </w:rPr>
  </w:style>
  <w:style w:type="character" w:styleId="Nivel3Char" w:customStyle="1">
    <w:name w:val="Nivel 3 Char"/>
    <w:basedOn w:val="DefaultParagraphFont"/>
    <w:qFormat/>
    <w:rsid w:val="00591ffe"/>
    <w:rPr>
      <w:rFonts w:ascii="Arial" w:hAnsi="Arial" w:cs="Tahoma"/>
      <w:szCs w:val="24"/>
      <w:lang w:eastAsia="pt-BR"/>
    </w:rPr>
  </w:style>
  <w:style w:type="character" w:styleId="UnresolvedMention">
    <w:name w:val="Unresolved Mention"/>
    <w:basedOn w:val="DefaultParagraphFont"/>
    <w:uiPriority w:val="99"/>
    <w:semiHidden/>
    <w:unhideWhenUsed/>
    <w:qFormat/>
    <w:rsid w:val="00793206"/>
    <w:rPr>
      <w:color w:val="605E5C"/>
      <w:shd w:fill="E1DFDD" w:val="clear"/>
    </w:rPr>
  </w:style>
  <w:style w:type="character" w:styleId="Nvel2-OpcionalChar" w:customStyle="1">
    <w:name w:val="Nível 2-Opcional Char"/>
    <w:basedOn w:val="Nvel02Char"/>
    <w:qFormat/>
    <w:rsid w:val="00ee5824"/>
    <w:rPr>
      <w:rFonts w:ascii="Arial" w:hAnsi="Arial" w:eastAsia="Arial" w:cs="Arial"/>
      <w:i/>
      <w:iCs/>
      <w:color w:val="FF0000"/>
      <w:shd w:fill="76923C" w:val="clear"/>
      <w:lang w:eastAsia="pt-BR"/>
    </w:rPr>
  </w:style>
  <w:style w:type="character" w:styleId="Nvel3-OpcionalChar" w:customStyle="1">
    <w:name w:val="Nível 3-Opcional Char"/>
    <w:basedOn w:val="Nivel3Char"/>
    <w:qFormat/>
    <w:rsid w:val="00ee5824"/>
    <w:rPr>
      <w:rFonts w:ascii="Arial" w:hAnsi="Arial" w:cs="Tahoma"/>
      <w:i/>
      <w:color w:val="FF0000"/>
      <w:szCs w:val="24"/>
      <w:lang w:eastAsia="pt-BR"/>
    </w:rPr>
  </w:style>
  <w:style w:type="character" w:styleId="Nvel1-SemBlackChar" w:customStyle="1">
    <w:name w:val="Nível 1-Sem Black Char"/>
    <w:basedOn w:val="DefaultParagraphFont"/>
    <w:qFormat/>
    <w:rsid w:val="00243342"/>
    <w:rPr>
      <w:rFonts w:ascii="Arial" w:hAnsi="Arial" w:eastAsia="" w:cs="Arial" w:eastAsiaTheme="majorEastAsia"/>
      <w:b/>
      <w:bCs/>
      <w:lang w:eastAsia="pt-BR"/>
    </w:rPr>
  </w:style>
  <w:style w:type="character" w:styleId="Nivel2Char" w:customStyle="1">
    <w:name w:val="Nivel 2 Char"/>
    <w:basedOn w:val="DefaultParagraphFont"/>
    <w:qFormat/>
    <w:locked/>
    <w:rsid w:val="00560fc4"/>
    <w:rPr>
      <w:rFonts w:ascii="Arial" w:hAnsi="Arial" w:eastAsia="Arial" w:cs="Arial"/>
      <w:color w:themeColor="text1" w:val="000000"/>
      <w:lang w:eastAsia="pt-BR"/>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InternetLink5">
    <w:name w:val="Internet Link5"/>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Cabealhoerodap">
    <w:name w:val="Cabeçalho e rodapé"/>
    <w:basedOn w:val="Normal"/>
    <w:qFormat/>
    <w:pPr/>
    <w:rPr/>
  </w:style>
  <w:style w:type="paragraph" w:styleId="Footer">
    <w:name w:val="footer"/>
    <w:basedOn w:val="Cabealhoerodap"/>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586C6-87CC-442F-B6F2-117E5DE3F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Application>LibreOffice/24.8.0.3$Windows_X86_64 LibreOffice_project/0bdf1299c94fe897b119f97f3c613e9dca6be583</Application>
  <AppVersion>15.0000</AppVersion>
  <Pages>26</Pages>
  <Words>11884</Words>
  <Characters>68188</Characters>
  <CharactersWithSpaces>79257</CharactersWithSpaces>
  <Paragraphs>483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2024-11-12T19:12:00Z</dcterms:created>
  <dc:creator/>
  <dc:description/>
  <dc:language>pt-BR</dc:language>
  <cp:lastModifiedBy/>
  <dcterms:modified xsi:type="dcterms:W3CDTF">2025-01-23T12:12:58Z</dcterms:modified>
  <cp:revision>24</cp:revision>
  <dc:subject/>
  <dc:title/>
</cp:coreProperties>
</file>

<file path=docProps/custom.xml><?xml version="1.0" encoding="utf-8"?>
<Properties xmlns="http://schemas.openxmlformats.org/officeDocument/2006/custom-properties" xmlns:vt="http://schemas.openxmlformats.org/officeDocument/2006/docPropsVTypes"/>
</file>